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D3F62" w14:textId="77777777" w:rsidR="007D6D34" w:rsidRDefault="007D6D34" w:rsidP="00B7018F">
      <w:pPr>
        <w:pStyle w:val="Ttulo3"/>
        <w:shd w:val="clear" w:color="auto" w:fill="FFFFFF"/>
        <w:spacing w:before="0" w:beforeAutospacing="0" w:after="0" w:afterAutospacing="0" w:line="276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14:paraId="27BB9635" w14:textId="55BEFA8F" w:rsidR="006D34ED" w:rsidRPr="006F0F80" w:rsidRDefault="000E5911" w:rsidP="00B7018F">
      <w:pPr>
        <w:pStyle w:val="Ttulo3"/>
        <w:shd w:val="clear" w:color="auto" w:fill="FFFFFF"/>
        <w:spacing w:before="0" w:beforeAutospacing="0" w:after="0" w:afterAutospacing="0" w:line="276" w:lineRule="auto"/>
        <w:jc w:val="center"/>
        <w:rPr>
          <w:rFonts w:ascii="Verdana" w:hAnsi="Verdana"/>
          <w:color w:val="000000"/>
          <w:sz w:val="36"/>
          <w:szCs w:val="36"/>
          <w:shd w:val="clear" w:color="auto" w:fill="FFFFFF"/>
        </w:rPr>
      </w:pPr>
      <w:r w:rsidRPr="006F0F80">
        <w:rPr>
          <w:rFonts w:ascii="Verdana" w:hAnsi="Verdana"/>
          <w:color w:val="000000" w:themeColor="text1"/>
          <w:sz w:val="36"/>
          <w:szCs w:val="36"/>
        </w:rPr>
        <w:t>LAS ENTIDADES NO LUCRATIVAS</w:t>
      </w:r>
      <w:r w:rsidR="00F133C7">
        <w:rPr>
          <w:rFonts w:ascii="Verdana" w:hAnsi="Verdana"/>
          <w:color w:val="000000" w:themeColor="text1"/>
          <w:sz w:val="36"/>
          <w:szCs w:val="36"/>
        </w:rPr>
        <w:t>, SATISFECHAS CON LA APROBACIÓN DE LA REFORMA</w:t>
      </w:r>
      <w:r w:rsidR="00E867C1" w:rsidRPr="006F0F80">
        <w:rPr>
          <w:rFonts w:ascii="Verdana" w:hAnsi="Verdana"/>
          <w:color w:val="000000" w:themeColor="text1"/>
          <w:sz w:val="36"/>
          <w:szCs w:val="36"/>
        </w:rPr>
        <w:t xml:space="preserve"> DE LA </w:t>
      </w:r>
      <w:r w:rsidR="0041704F" w:rsidRPr="006F0F80">
        <w:rPr>
          <w:rFonts w:ascii="Verdana" w:hAnsi="Verdana"/>
          <w:color w:val="000000" w:themeColor="text1"/>
          <w:sz w:val="36"/>
          <w:szCs w:val="36"/>
        </w:rPr>
        <w:t>LEY DE MECENAZGO</w:t>
      </w:r>
      <w:r w:rsidR="004E79CB" w:rsidRPr="006F0F80">
        <w:rPr>
          <w:rFonts w:ascii="Verdana" w:hAnsi="Verdana"/>
          <w:color w:val="000000" w:themeColor="text1"/>
          <w:sz w:val="36"/>
          <w:szCs w:val="36"/>
        </w:rPr>
        <w:t xml:space="preserve"> </w:t>
      </w:r>
      <w:r w:rsidR="00F133C7">
        <w:rPr>
          <w:rFonts w:ascii="Verdana" w:hAnsi="Verdana"/>
          <w:color w:val="000000" w:themeColor="text1"/>
          <w:sz w:val="36"/>
          <w:szCs w:val="36"/>
        </w:rPr>
        <w:t xml:space="preserve">MEDIANTE </w:t>
      </w:r>
      <w:r w:rsidR="00A97F95">
        <w:rPr>
          <w:rFonts w:ascii="Verdana" w:hAnsi="Verdana"/>
          <w:color w:val="000000" w:themeColor="text1"/>
          <w:sz w:val="36"/>
          <w:szCs w:val="36"/>
        </w:rPr>
        <w:t xml:space="preserve">REAL </w:t>
      </w:r>
      <w:r w:rsidR="00F133C7">
        <w:rPr>
          <w:rFonts w:ascii="Verdana" w:hAnsi="Verdana"/>
          <w:color w:val="000000" w:themeColor="text1"/>
          <w:sz w:val="36"/>
          <w:szCs w:val="36"/>
        </w:rPr>
        <w:t>DECRETO-LEY</w:t>
      </w:r>
    </w:p>
    <w:p w14:paraId="5CAB90C5" w14:textId="77777777" w:rsidR="00FC28E7" w:rsidRDefault="00FC28E7" w:rsidP="00B7018F">
      <w:pPr>
        <w:pStyle w:val="Ttulo3"/>
        <w:shd w:val="clear" w:color="auto" w:fill="FFFFFF"/>
        <w:spacing w:before="0" w:beforeAutospacing="0" w:after="0" w:afterAutospacing="0" w:line="276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1662C309" w14:textId="3C0841E0" w:rsidR="00B162A3" w:rsidRPr="005B5360" w:rsidRDefault="00065710" w:rsidP="00065710">
      <w:pPr>
        <w:pStyle w:val="Ttulo3"/>
        <w:shd w:val="clear" w:color="auto" w:fill="FFFFFF"/>
        <w:spacing w:before="0" w:beforeAutospacing="0" w:after="0" w:afterAutospacing="0" w:line="276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4ED3C489" wp14:editId="54E2C7E7">
            <wp:extent cx="5400040" cy="2336800"/>
            <wp:effectExtent l="0" t="0" r="0" b="0"/>
            <wp:docPr id="19635614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356146" name="Imagen 196356146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776"/>
                    <a:stretch/>
                  </pic:blipFill>
                  <pic:spPr bwMode="auto">
                    <a:xfrm>
                      <a:off x="0" y="0"/>
                      <a:ext cx="5400040" cy="233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D68201" w14:textId="3A5C32C6" w:rsidR="00F133C7" w:rsidRPr="00F133C7" w:rsidRDefault="00F133C7" w:rsidP="00EE1608">
      <w:pPr>
        <w:numPr>
          <w:ilvl w:val="0"/>
          <w:numId w:val="25"/>
        </w:numPr>
        <w:shd w:val="clear" w:color="auto" w:fill="FFFFFF"/>
        <w:tabs>
          <w:tab w:val="left" w:pos="6237"/>
        </w:tabs>
        <w:spacing w:before="100" w:beforeAutospacing="1" w:after="0" w:afterAutospacing="1" w:line="360" w:lineRule="auto"/>
        <w:jc w:val="both"/>
        <w:rPr>
          <w:rStyle w:val="Textoennegrita"/>
          <w:rFonts w:ascii="Verdana" w:hAnsi="Verdana"/>
          <w:color w:val="000000"/>
          <w:sz w:val="21"/>
          <w:szCs w:val="21"/>
        </w:rPr>
      </w:pPr>
      <w:r w:rsidRPr="00F133C7">
        <w:rPr>
          <w:rStyle w:val="Textoennegrita"/>
          <w:rFonts w:ascii="Verdana" w:hAnsi="Verdana"/>
          <w:color w:val="000000"/>
          <w:sz w:val="21"/>
          <w:szCs w:val="21"/>
        </w:rPr>
        <w:t xml:space="preserve">El Consejo de </w:t>
      </w:r>
      <w:proofErr w:type="gramStart"/>
      <w:r w:rsidRPr="00F133C7">
        <w:rPr>
          <w:rStyle w:val="Textoennegrita"/>
          <w:rFonts w:ascii="Verdana" w:hAnsi="Verdana"/>
          <w:color w:val="000000"/>
          <w:sz w:val="21"/>
          <w:szCs w:val="21"/>
        </w:rPr>
        <w:t>Ministros</w:t>
      </w:r>
      <w:proofErr w:type="gramEnd"/>
      <w:r w:rsidRPr="00F133C7">
        <w:rPr>
          <w:rStyle w:val="Textoennegrita"/>
          <w:rFonts w:ascii="Verdana" w:hAnsi="Verdana"/>
          <w:color w:val="000000"/>
          <w:sz w:val="21"/>
          <w:szCs w:val="21"/>
        </w:rPr>
        <w:t xml:space="preserve"> ha aprobado este martes 19 </w:t>
      </w:r>
      <w:r w:rsidRPr="00F133C7">
        <w:rPr>
          <w:rStyle w:val="Textoennegrita"/>
          <w:rFonts w:ascii="Verdana" w:hAnsi="Verdana"/>
          <w:sz w:val="21"/>
          <w:szCs w:val="21"/>
        </w:rPr>
        <w:t xml:space="preserve">un Real Decreto-Ley por el que modifica la </w:t>
      </w:r>
      <w:r>
        <w:rPr>
          <w:rStyle w:val="Textoennegrita"/>
          <w:rFonts w:ascii="Verdana" w:hAnsi="Verdana"/>
          <w:sz w:val="21"/>
          <w:szCs w:val="21"/>
        </w:rPr>
        <w:t>l</w:t>
      </w:r>
      <w:r w:rsidRPr="00F133C7">
        <w:rPr>
          <w:rStyle w:val="Textoennegrita"/>
          <w:rFonts w:ascii="Verdana" w:hAnsi="Verdana"/>
          <w:sz w:val="21"/>
          <w:szCs w:val="21"/>
        </w:rPr>
        <w:t xml:space="preserve">ey de </w:t>
      </w:r>
      <w:r>
        <w:rPr>
          <w:rStyle w:val="Textoennegrita"/>
          <w:rFonts w:ascii="Verdana" w:hAnsi="Verdana"/>
          <w:sz w:val="21"/>
          <w:szCs w:val="21"/>
        </w:rPr>
        <w:t>m</w:t>
      </w:r>
      <w:r w:rsidRPr="00F133C7">
        <w:rPr>
          <w:rStyle w:val="Textoennegrita"/>
          <w:rFonts w:ascii="Verdana" w:hAnsi="Verdana"/>
          <w:sz w:val="21"/>
          <w:szCs w:val="21"/>
        </w:rPr>
        <w:t>ecenazgo</w:t>
      </w:r>
    </w:p>
    <w:p w14:paraId="26E68E62" w14:textId="75ECAF98" w:rsidR="00D22058" w:rsidRPr="008D38C9" w:rsidRDefault="00F133C7" w:rsidP="008D38C9">
      <w:pPr>
        <w:numPr>
          <w:ilvl w:val="0"/>
          <w:numId w:val="25"/>
        </w:numPr>
        <w:shd w:val="clear" w:color="auto" w:fill="FFFFFF"/>
        <w:tabs>
          <w:tab w:val="left" w:pos="6237"/>
        </w:tabs>
        <w:spacing w:before="100" w:beforeAutospacing="1" w:after="100" w:afterAutospacing="1" w:line="360" w:lineRule="auto"/>
        <w:jc w:val="both"/>
        <w:rPr>
          <w:rStyle w:val="Textoennegrita"/>
          <w:rFonts w:ascii="Verdana" w:hAnsi="Verdana"/>
          <w:color w:val="222222"/>
          <w:sz w:val="21"/>
          <w:szCs w:val="21"/>
        </w:rPr>
      </w:pPr>
      <w:r>
        <w:rPr>
          <w:rStyle w:val="Textoennegrita"/>
          <w:rFonts w:ascii="Verdana" w:hAnsi="Verdana"/>
          <w:color w:val="000000"/>
          <w:sz w:val="21"/>
          <w:szCs w:val="21"/>
        </w:rPr>
        <w:t xml:space="preserve">La aprobación de la reforma de la ley de mecenazgo se frustró en la pasada legislatura </w:t>
      </w:r>
      <w:r w:rsidR="0070462A">
        <w:rPr>
          <w:rStyle w:val="Textoennegrita"/>
          <w:rFonts w:ascii="Verdana" w:hAnsi="Verdana"/>
          <w:color w:val="000000"/>
          <w:sz w:val="21"/>
          <w:szCs w:val="21"/>
        </w:rPr>
        <w:t xml:space="preserve">pocos días </w:t>
      </w:r>
      <w:r>
        <w:rPr>
          <w:rStyle w:val="Textoennegrita"/>
          <w:rFonts w:ascii="Verdana" w:hAnsi="Verdana"/>
          <w:color w:val="000000"/>
          <w:sz w:val="21"/>
          <w:szCs w:val="21"/>
        </w:rPr>
        <w:t xml:space="preserve">antes de recibir la conformidad del Senado. </w:t>
      </w:r>
      <w:r w:rsidR="004E79CB" w:rsidRPr="004E79CB">
        <w:rPr>
          <w:rStyle w:val="Textoennegrita"/>
          <w:rFonts w:ascii="Verdana" w:hAnsi="Verdana"/>
          <w:color w:val="222222"/>
          <w:sz w:val="21"/>
          <w:szCs w:val="21"/>
        </w:rPr>
        <w:t xml:space="preserve">Tras ser </w:t>
      </w:r>
      <w:r w:rsidR="0070462A">
        <w:rPr>
          <w:rStyle w:val="Textoennegrita"/>
          <w:rFonts w:ascii="Verdana" w:hAnsi="Verdana"/>
          <w:color w:val="222222"/>
          <w:sz w:val="21"/>
          <w:szCs w:val="21"/>
        </w:rPr>
        <w:t xml:space="preserve">aprobada </w:t>
      </w:r>
      <w:r w:rsidR="004E79CB" w:rsidRPr="004E79CB">
        <w:rPr>
          <w:rStyle w:val="Textoennegrita"/>
          <w:rFonts w:ascii="Verdana" w:hAnsi="Verdana"/>
          <w:color w:val="222222"/>
          <w:sz w:val="21"/>
          <w:szCs w:val="21"/>
        </w:rPr>
        <w:t xml:space="preserve">en el Congreso, la reforma se encontraba en trámite en </w:t>
      </w:r>
      <w:r>
        <w:rPr>
          <w:rStyle w:val="Textoennegrita"/>
          <w:rFonts w:ascii="Verdana" w:hAnsi="Verdana"/>
          <w:color w:val="222222"/>
          <w:sz w:val="21"/>
          <w:szCs w:val="21"/>
        </w:rPr>
        <w:t>la Cámara Alta</w:t>
      </w:r>
      <w:r w:rsidR="004E79CB">
        <w:rPr>
          <w:rStyle w:val="Textoennegrita"/>
          <w:rFonts w:ascii="Verdana" w:hAnsi="Verdana"/>
          <w:color w:val="222222"/>
          <w:sz w:val="21"/>
          <w:szCs w:val="21"/>
        </w:rPr>
        <w:t xml:space="preserve"> cuando ambas Cámaras se disolvieron por el 23J</w:t>
      </w:r>
    </w:p>
    <w:p w14:paraId="1B57509A" w14:textId="5B826BA9" w:rsidR="008D38C9" w:rsidRPr="008D38C9" w:rsidRDefault="00D76324" w:rsidP="008D38C9">
      <w:pPr>
        <w:numPr>
          <w:ilvl w:val="0"/>
          <w:numId w:val="25"/>
        </w:numPr>
        <w:shd w:val="clear" w:color="auto" w:fill="FFFFFF"/>
        <w:tabs>
          <w:tab w:val="left" w:pos="6237"/>
        </w:tabs>
        <w:spacing w:before="100" w:beforeAutospacing="1" w:after="100" w:afterAutospacing="1" w:line="360" w:lineRule="auto"/>
        <w:jc w:val="both"/>
        <w:rPr>
          <w:rStyle w:val="Textoennegrita"/>
          <w:rFonts w:ascii="Verdana" w:hAnsi="Verdana"/>
          <w:color w:val="222222"/>
          <w:sz w:val="21"/>
          <w:szCs w:val="21"/>
        </w:rPr>
      </w:pPr>
      <w:r w:rsidRPr="008D38C9">
        <w:rPr>
          <w:rStyle w:val="Textoennegrita"/>
          <w:rFonts w:ascii="Verdana" w:hAnsi="Verdana"/>
          <w:color w:val="222222"/>
          <w:sz w:val="21"/>
          <w:szCs w:val="21"/>
        </w:rPr>
        <w:t xml:space="preserve">La reforma es fruto del consenso del sector </w:t>
      </w:r>
    </w:p>
    <w:p w14:paraId="3409DA04" w14:textId="15B2B39A" w:rsidR="009349C4" w:rsidRPr="00CB22D2" w:rsidRDefault="002449C0" w:rsidP="0041704F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70462A">
        <w:rPr>
          <w:rFonts w:ascii="Verdana" w:hAnsi="Verdana"/>
          <w:b/>
          <w:bCs/>
          <w:sz w:val="20"/>
          <w:szCs w:val="20"/>
        </w:rPr>
        <w:t xml:space="preserve">Madrid, </w:t>
      </w:r>
      <w:r w:rsidR="0070462A" w:rsidRPr="0070462A">
        <w:rPr>
          <w:rFonts w:ascii="Verdana" w:hAnsi="Verdana"/>
          <w:b/>
          <w:bCs/>
          <w:sz w:val="20"/>
          <w:szCs w:val="20"/>
        </w:rPr>
        <w:t>20</w:t>
      </w:r>
      <w:r w:rsidR="009A5625" w:rsidRPr="0070462A">
        <w:rPr>
          <w:rFonts w:ascii="Verdana" w:hAnsi="Verdana"/>
          <w:b/>
          <w:bCs/>
          <w:sz w:val="20"/>
          <w:szCs w:val="20"/>
        </w:rPr>
        <w:t xml:space="preserve"> </w:t>
      </w:r>
      <w:r w:rsidR="004E79CB" w:rsidRPr="0070462A">
        <w:rPr>
          <w:rFonts w:ascii="Verdana" w:hAnsi="Verdana"/>
          <w:b/>
          <w:bCs/>
          <w:sz w:val="20"/>
          <w:szCs w:val="20"/>
        </w:rPr>
        <w:t xml:space="preserve">de </w:t>
      </w:r>
      <w:r w:rsidR="009A5625" w:rsidRPr="0070462A">
        <w:rPr>
          <w:rFonts w:ascii="Verdana" w:hAnsi="Verdana"/>
          <w:b/>
          <w:bCs/>
          <w:sz w:val="20"/>
          <w:szCs w:val="20"/>
        </w:rPr>
        <w:t xml:space="preserve">diciembre </w:t>
      </w:r>
      <w:r w:rsidRPr="0070462A">
        <w:rPr>
          <w:rFonts w:ascii="Verdana" w:hAnsi="Verdana"/>
          <w:b/>
          <w:bCs/>
          <w:sz w:val="20"/>
          <w:szCs w:val="20"/>
        </w:rPr>
        <w:t xml:space="preserve">de 2023. </w:t>
      </w:r>
      <w:r w:rsidR="009349C4" w:rsidRPr="00F8403F">
        <w:rPr>
          <w:rFonts w:ascii="Verdana" w:hAnsi="Verdana"/>
          <w:sz w:val="20"/>
          <w:szCs w:val="20"/>
        </w:rPr>
        <w:t xml:space="preserve">El Consejo de </w:t>
      </w:r>
      <w:proofErr w:type="gramStart"/>
      <w:r w:rsidR="009349C4" w:rsidRPr="00F8403F">
        <w:rPr>
          <w:rFonts w:ascii="Verdana" w:hAnsi="Verdana"/>
          <w:sz w:val="20"/>
          <w:szCs w:val="20"/>
        </w:rPr>
        <w:t>Ministros</w:t>
      </w:r>
      <w:proofErr w:type="gramEnd"/>
      <w:r w:rsidR="009349C4" w:rsidRPr="00F8403F">
        <w:rPr>
          <w:rFonts w:ascii="Verdana" w:hAnsi="Verdana"/>
          <w:sz w:val="20"/>
          <w:szCs w:val="20"/>
        </w:rPr>
        <w:t xml:space="preserve"> ha aprobado este martes 19 de diciembre un Real Decreto-Ley mediante el que modifica la ley de mecenazgo vigente desde hace 21 años.</w:t>
      </w:r>
      <w:r w:rsidR="009349C4" w:rsidRPr="00CB22D2">
        <w:rPr>
          <w:rFonts w:ascii="Verdana" w:hAnsi="Verdana"/>
          <w:b/>
          <w:bCs/>
          <w:sz w:val="20"/>
          <w:szCs w:val="20"/>
        </w:rPr>
        <w:t> </w:t>
      </w:r>
    </w:p>
    <w:p w14:paraId="613E6A06" w14:textId="256E2D96" w:rsidR="009349C4" w:rsidRPr="00342C52" w:rsidRDefault="009349C4" w:rsidP="00342C5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42C52">
        <w:rPr>
          <w:rFonts w:ascii="Verdana" w:hAnsi="Verdana"/>
          <w:sz w:val="20"/>
          <w:szCs w:val="20"/>
        </w:rPr>
        <w:t>La aprobación de la reforma de dicha ley se frustró en la pasada legislatura dos días antes de recibir la conformidad del Senado. Tras ser refrendada en el Congreso</w:t>
      </w:r>
      <w:r w:rsidR="00342C52" w:rsidRPr="00342C52">
        <w:rPr>
          <w:rFonts w:ascii="Verdana" w:hAnsi="Verdana"/>
          <w:sz w:val="20"/>
          <w:szCs w:val="20"/>
        </w:rPr>
        <w:t xml:space="preserve"> con los votos favorables del todos los partidos políticos (31 votos) y la abstención de Vox (5 abstenciones), </w:t>
      </w:r>
      <w:r w:rsidRPr="00342C52">
        <w:rPr>
          <w:rFonts w:ascii="Verdana" w:hAnsi="Verdana"/>
          <w:sz w:val="20"/>
          <w:szCs w:val="20"/>
        </w:rPr>
        <w:t>la reforma se encontraba en trámite en la Cámara Alta cuando ambas Cámaras se disolvieron por el adelanto electo</w:t>
      </w:r>
      <w:r w:rsidR="00342C52" w:rsidRPr="00342C52">
        <w:rPr>
          <w:rFonts w:ascii="Verdana" w:hAnsi="Verdana"/>
          <w:sz w:val="20"/>
          <w:szCs w:val="20"/>
        </w:rPr>
        <w:t>r</w:t>
      </w:r>
      <w:r w:rsidRPr="00342C52">
        <w:rPr>
          <w:rFonts w:ascii="Verdana" w:hAnsi="Verdana"/>
          <w:sz w:val="20"/>
          <w:szCs w:val="20"/>
        </w:rPr>
        <w:t xml:space="preserve">al del 23J. Ahora, el Gobierno </w:t>
      </w:r>
      <w:r w:rsidRPr="00342C52">
        <w:rPr>
          <w:rFonts w:ascii="Verdana" w:hAnsi="Verdana"/>
          <w:sz w:val="20"/>
          <w:szCs w:val="20"/>
        </w:rPr>
        <w:lastRenderedPageBreak/>
        <w:t xml:space="preserve">la ha aprobado </w:t>
      </w:r>
      <w:r w:rsidR="00DC7081">
        <w:rPr>
          <w:rFonts w:ascii="Verdana" w:hAnsi="Verdana"/>
          <w:sz w:val="20"/>
          <w:szCs w:val="20"/>
        </w:rPr>
        <w:t xml:space="preserve">este martes </w:t>
      </w:r>
      <w:r w:rsidRPr="00342C52">
        <w:rPr>
          <w:rFonts w:ascii="Verdana" w:hAnsi="Verdana"/>
          <w:sz w:val="20"/>
          <w:szCs w:val="20"/>
        </w:rPr>
        <w:t xml:space="preserve">como Real Decreto-Ley y entrará en vigor el 1 de enero de 2024. Posteriormente, </w:t>
      </w:r>
      <w:r w:rsidR="00342C52" w:rsidRPr="00342C52">
        <w:rPr>
          <w:rFonts w:ascii="Verdana" w:hAnsi="Verdana"/>
          <w:sz w:val="20"/>
          <w:szCs w:val="20"/>
        </w:rPr>
        <w:t xml:space="preserve">el Parlamento tendrá que validarla. </w:t>
      </w:r>
    </w:p>
    <w:p w14:paraId="4B8B5A86" w14:textId="2EAF93D2" w:rsidR="00342C52" w:rsidRDefault="00342C52" w:rsidP="00342C5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marco jurídico vigente en España para el mecenazgo es la </w:t>
      </w:r>
      <w:r w:rsidRPr="006F1278">
        <w:rPr>
          <w:rFonts w:ascii="Verdana" w:hAnsi="Verdana"/>
          <w:sz w:val="20"/>
          <w:szCs w:val="20"/>
        </w:rPr>
        <w:t>ley 49/2002</w:t>
      </w:r>
      <w:r>
        <w:rPr>
          <w:rFonts w:ascii="Verdana" w:hAnsi="Verdana"/>
          <w:sz w:val="20"/>
          <w:szCs w:val="20"/>
        </w:rPr>
        <w:t xml:space="preserve">, </w:t>
      </w:r>
      <w:r w:rsidRPr="006F1278">
        <w:rPr>
          <w:rFonts w:ascii="Verdana" w:hAnsi="Verdana"/>
          <w:sz w:val="20"/>
          <w:szCs w:val="20"/>
        </w:rPr>
        <w:t>de 23 de diciembre</w:t>
      </w:r>
      <w:r>
        <w:rPr>
          <w:rFonts w:ascii="Verdana" w:hAnsi="Verdana"/>
          <w:sz w:val="20"/>
          <w:szCs w:val="20"/>
        </w:rPr>
        <w:t xml:space="preserve"> </w:t>
      </w:r>
      <w:r w:rsidRPr="006F1278">
        <w:rPr>
          <w:rFonts w:ascii="Verdana" w:hAnsi="Verdana"/>
          <w:sz w:val="20"/>
          <w:szCs w:val="20"/>
        </w:rPr>
        <w:t>que</w:t>
      </w:r>
      <w:r>
        <w:rPr>
          <w:rFonts w:ascii="Verdana" w:hAnsi="Verdana"/>
          <w:sz w:val="20"/>
          <w:szCs w:val="20"/>
        </w:rPr>
        <w:t>, a su vez,</w:t>
      </w:r>
      <w:r w:rsidRPr="006F1278">
        <w:rPr>
          <w:rFonts w:ascii="Verdana" w:hAnsi="Verdana"/>
          <w:sz w:val="20"/>
          <w:szCs w:val="20"/>
        </w:rPr>
        <w:t xml:space="preserve"> actualizaba la ley 30/1994, de Fundaciones y de Incentivos Fiscales a la Participación Privada en Actividades de Interés General</w:t>
      </w:r>
      <w:r>
        <w:rPr>
          <w:rFonts w:ascii="Verdana" w:hAnsi="Verdana"/>
          <w:sz w:val="20"/>
          <w:szCs w:val="20"/>
        </w:rPr>
        <w:t xml:space="preserve">, la primera que incorporó el término “mecenazgo”. </w:t>
      </w:r>
    </w:p>
    <w:p w14:paraId="052F5D36" w14:textId="4C4013E0" w:rsidR="00342C52" w:rsidRDefault="00DC7081" w:rsidP="00342C5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="00342C52">
        <w:rPr>
          <w:rFonts w:ascii="Verdana" w:hAnsi="Verdana"/>
          <w:sz w:val="20"/>
          <w:szCs w:val="20"/>
        </w:rPr>
        <w:t>as novedades que introduce la reforma de la ley del mecenazgo en la norma 49/20</w:t>
      </w:r>
      <w:r w:rsidR="00D76883">
        <w:rPr>
          <w:rFonts w:ascii="Verdana" w:hAnsi="Verdana"/>
          <w:sz w:val="20"/>
          <w:szCs w:val="20"/>
        </w:rPr>
        <w:t>0</w:t>
      </w:r>
      <w:r w:rsidR="00342C52">
        <w:rPr>
          <w:rFonts w:ascii="Verdana" w:hAnsi="Verdana"/>
          <w:sz w:val="20"/>
          <w:szCs w:val="20"/>
        </w:rPr>
        <w:t xml:space="preserve">2 son las siguientes: </w:t>
      </w:r>
    </w:p>
    <w:p w14:paraId="39BC788A" w14:textId="1FD1AC90" w:rsidR="00342C52" w:rsidRDefault="00342C52" w:rsidP="00342C52">
      <w:pPr>
        <w:pStyle w:val="Prrafodelista"/>
        <w:shd w:val="clear" w:color="auto" w:fill="FFFFFF"/>
        <w:spacing w:before="100" w:beforeAutospacing="1" w:after="100" w:afterAutospacing="1" w:line="276" w:lineRule="auto"/>
        <w:ind w:left="360"/>
        <w:jc w:val="both"/>
        <w:rPr>
          <w:rFonts w:ascii="Verdana" w:eastAsia="Times New Roman" w:hAnsi="Verdana" w:cs="Open Sans"/>
          <w:color w:val="333333"/>
          <w:sz w:val="20"/>
          <w:szCs w:val="20"/>
          <w:lang w:eastAsia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5CB48" wp14:editId="29E461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18957643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4406E4" w14:textId="77777777" w:rsidR="00342C52" w:rsidRDefault="00342C52" w:rsidP="00342C52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shd w:val="clear" w:color="auto" w:fill="FFFFFF"/>
                              <w:spacing w:before="100" w:beforeAutospacing="1" w:after="100" w:afterAutospacing="1" w:line="276" w:lineRule="auto"/>
                              <w:ind w:left="360"/>
                              <w:jc w:val="both"/>
                              <w:rPr>
                                <w:rFonts w:ascii="Verdana" w:eastAsia="Times New Roman" w:hAnsi="Verdana" w:cs="Open Sans"/>
                                <w:color w:val="333333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0E7379">
                              <w:rPr>
                                <w:rFonts w:ascii="Verdana" w:eastAsia="Times New Roman" w:hAnsi="Verdana" w:cs="Open Sans"/>
                                <w:color w:val="333333"/>
                                <w:sz w:val="20"/>
                                <w:szCs w:val="20"/>
                                <w:lang w:eastAsia="es-ES_tradnl"/>
                              </w:rPr>
                              <w:t xml:space="preserve">Se estimula el micromecenazgo y se incrementan los porcentajes de deducción: en el caso de personas físicas, se eleva de 150€ a 250€ la base sobre la que se puede deducir el 80% de la donación </w:t>
                            </w:r>
                            <w:r>
                              <w:rPr>
                                <w:rFonts w:ascii="Verdana" w:eastAsia="Times New Roman" w:hAnsi="Verdana" w:cs="Open Sans"/>
                                <w:color w:val="333333"/>
                                <w:sz w:val="20"/>
                                <w:szCs w:val="20"/>
                                <w:lang w:eastAsia="es-ES_tradnl"/>
                              </w:rPr>
                              <w:t xml:space="preserve">del </w:t>
                            </w:r>
                            <w:r w:rsidRPr="000E7379">
                              <w:rPr>
                                <w:rFonts w:ascii="Verdana" w:eastAsia="Times New Roman" w:hAnsi="Verdana" w:cs="Open Sans"/>
                                <w:color w:val="333333"/>
                                <w:sz w:val="20"/>
                                <w:szCs w:val="20"/>
                                <w:lang w:eastAsia="es-ES_tradnl"/>
                              </w:rPr>
                              <w:t xml:space="preserve">IRPF y por el resto habrá un 40% de deducción (en lugar del 35% vigente). En el caso de personas jurídicas, las deducciones en el impuesto </w:t>
                            </w:r>
                            <w:r>
                              <w:rPr>
                                <w:rFonts w:ascii="Verdana" w:eastAsia="Times New Roman" w:hAnsi="Verdana" w:cs="Open Sans"/>
                                <w:color w:val="333333"/>
                                <w:sz w:val="20"/>
                                <w:szCs w:val="20"/>
                                <w:lang w:eastAsia="es-ES_tradnl"/>
                              </w:rPr>
                              <w:t>sobre</w:t>
                            </w:r>
                            <w:r w:rsidRPr="000E7379">
                              <w:rPr>
                                <w:rFonts w:ascii="Verdana" w:eastAsia="Times New Roman" w:hAnsi="Verdana" w:cs="Open Sans"/>
                                <w:color w:val="333333"/>
                                <w:sz w:val="20"/>
                                <w:szCs w:val="20"/>
                                <w:lang w:eastAsia="es-ES_tradnl"/>
                              </w:rPr>
                              <w:t xml:space="preserve"> sociedades también pasan del 35 al 40%. En ambos casos, para premiar el mecenazgo sostenido, la deducción aumenta al 45% en el caso de personas físicas y al 50% para las personas jurídicas (ambos ahora al 40%) si, en los </w:t>
                            </w:r>
                            <w:r>
                              <w:rPr>
                                <w:rFonts w:ascii="Verdana" w:eastAsia="Times New Roman" w:hAnsi="Verdana" w:cs="Open Sans"/>
                                <w:color w:val="333333"/>
                                <w:sz w:val="20"/>
                                <w:szCs w:val="20"/>
                                <w:lang w:eastAsia="es-ES_tradnl"/>
                              </w:rPr>
                              <w:t>dos</w:t>
                            </w:r>
                            <w:r w:rsidRPr="000E7379">
                              <w:rPr>
                                <w:rFonts w:ascii="Verdana" w:eastAsia="Times New Roman" w:hAnsi="Verdana" w:cs="Open Sans"/>
                                <w:color w:val="333333"/>
                                <w:sz w:val="20"/>
                                <w:szCs w:val="20"/>
                                <w:lang w:eastAsia="es-ES_tradnl"/>
                              </w:rPr>
                              <w:t xml:space="preserve"> años anteriores, </w:t>
                            </w:r>
                            <w:r>
                              <w:rPr>
                                <w:rFonts w:ascii="Verdana" w:eastAsia="Times New Roman" w:hAnsi="Verdana" w:cs="Open Sans"/>
                                <w:color w:val="333333"/>
                                <w:sz w:val="20"/>
                                <w:szCs w:val="20"/>
                                <w:lang w:eastAsia="es-ES_tradnl"/>
                              </w:rPr>
                              <w:t xml:space="preserve">se </w:t>
                            </w:r>
                            <w:r w:rsidRPr="000E7379">
                              <w:rPr>
                                <w:rFonts w:ascii="Verdana" w:eastAsia="Times New Roman" w:hAnsi="Verdana" w:cs="Open Sans"/>
                                <w:color w:val="333333"/>
                                <w:sz w:val="20"/>
                                <w:szCs w:val="20"/>
                                <w:lang w:eastAsia="es-ES_tradnl"/>
                              </w:rPr>
                              <w:t>ha realizado la donación</w:t>
                            </w:r>
                            <w:r>
                              <w:rPr>
                                <w:rFonts w:ascii="Verdana" w:eastAsia="Times New Roman" w:hAnsi="Verdana" w:cs="Open Sans"/>
                                <w:color w:val="333333"/>
                                <w:sz w:val="20"/>
                                <w:szCs w:val="20"/>
                                <w:lang w:eastAsia="es-ES_tradnl"/>
                              </w:rPr>
                              <w:t xml:space="preserve"> a la misma entidad al menos por el mismo importe</w:t>
                            </w:r>
                            <w:r w:rsidRPr="000E7379">
                              <w:rPr>
                                <w:rFonts w:ascii="Verdana" w:eastAsia="Times New Roman" w:hAnsi="Verdana" w:cs="Open Sans"/>
                                <w:color w:val="333333"/>
                                <w:sz w:val="20"/>
                                <w:szCs w:val="20"/>
                                <w:lang w:eastAsia="es-ES_tradnl"/>
                              </w:rPr>
                              <w:t>.</w:t>
                            </w:r>
                          </w:p>
                          <w:p w14:paraId="39F4301D" w14:textId="77777777" w:rsidR="0070462A" w:rsidRPr="0070462A" w:rsidRDefault="0070462A" w:rsidP="0070462A">
                            <w:pPr>
                              <w:pStyle w:val="Prrafodelista"/>
                              <w:shd w:val="clear" w:color="auto" w:fill="FFFFFF"/>
                              <w:spacing w:before="100" w:beforeAutospacing="1" w:after="100" w:afterAutospacing="1" w:line="276" w:lineRule="auto"/>
                              <w:ind w:left="360"/>
                              <w:jc w:val="both"/>
                              <w:rPr>
                                <w:rFonts w:ascii="Verdana" w:eastAsia="Times New Roman" w:hAnsi="Verdana" w:cs="Open Sans"/>
                                <w:color w:val="333333"/>
                                <w:sz w:val="20"/>
                                <w:szCs w:val="20"/>
                                <w:lang w:eastAsia="es-ES_tradnl"/>
                              </w:rPr>
                            </w:pPr>
                          </w:p>
                          <w:p w14:paraId="16356A40" w14:textId="77777777" w:rsidR="0070462A" w:rsidRDefault="0070462A" w:rsidP="0070462A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shd w:val="clear" w:color="auto" w:fill="FFFFFF"/>
                              <w:spacing w:before="100" w:beforeAutospacing="1" w:after="100" w:afterAutospacing="1" w:line="276" w:lineRule="auto"/>
                              <w:ind w:left="360"/>
                              <w:jc w:val="both"/>
                              <w:rPr>
                                <w:rFonts w:ascii="Verdana" w:eastAsia="Times New Roman" w:hAnsi="Verdana" w:cs="Open Sans"/>
                                <w:color w:val="333333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70462A">
                              <w:rPr>
                                <w:rFonts w:ascii="Verdana" w:eastAsia="Times New Roman" w:hAnsi="Verdana" w:cs="Open Sans"/>
                                <w:color w:val="333333"/>
                                <w:sz w:val="20"/>
                                <w:szCs w:val="20"/>
                                <w:lang w:eastAsia="es-ES_tradnl"/>
                              </w:rPr>
                              <w:t>Se incluye en el concepto de donación fiscalmente deducible la cesión de uso de todo tipo de muebles e inmuebles dentro del concepto más genérico de donación de derechos.</w:t>
                            </w:r>
                          </w:p>
                          <w:p w14:paraId="3D5D7121" w14:textId="77777777" w:rsidR="0070462A" w:rsidRPr="0070462A" w:rsidRDefault="0070462A" w:rsidP="0070462A">
                            <w:pPr>
                              <w:pStyle w:val="Prrafodelista"/>
                              <w:rPr>
                                <w:rFonts w:ascii="Verdana" w:eastAsia="Times New Roman" w:hAnsi="Verdana" w:cs="Open Sans"/>
                                <w:color w:val="333333"/>
                                <w:sz w:val="20"/>
                                <w:szCs w:val="20"/>
                                <w:lang w:eastAsia="es-ES_tradnl"/>
                              </w:rPr>
                            </w:pPr>
                          </w:p>
                          <w:p w14:paraId="58D629F6" w14:textId="77777777" w:rsidR="0070462A" w:rsidRPr="0070462A" w:rsidRDefault="0070462A" w:rsidP="0070462A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shd w:val="clear" w:color="auto" w:fill="FFFFFF"/>
                              <w:spacing w:before="100" w:beforeAutospacing="1" w:after="100" w:afterAutospacing="1" w:line="276" w:lineRule="auto"/>
                              <w:ind w:left="360"/>
                              <w:jc w:val="both"/>
                              <w:rPr>
                                <w:rFonts w:ascii="Verdana" w:eastAsia="Times New Roman" w:hAnsi="Verdana" w:cs="Open Sans"/>
                                <w:color w:val="333333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70462A">
                              <w:rPr>
                                <w:rFonts w:ascii="Verdana" w:eastAsia="Times New Roman" w:hAnsi="Verdana" w:cs="Open Sans"/>
                                <w:color w:val="333333"/>
                                <w:sz w:val="20"/>
                                <w:szCs w:val="20"/>
                                <w:lang w:eastAsia="es-ES_tradnl"/>
                              </w:rPr>
                              <w:t>Se amplía el concepto de convenio de colaboración incluyendo de forma expresa las aportaciones en especie incluida la prestación gratuita de servicios. El colaborador podrá además difundir esta colaboración.</w:t>
                            </w:r>
                          </w:p>
                          <w:p w14:paraId="0B3C3533" w14:textId="66304FE5" w:rsidR="00342C52" w:rsidRPr="008F7B2B" w:rsidRDefault="00342C52" w:rsidP="0070462A">
                            <w:pPr>
                              <w:pStyle w:val="Prrafodelista"/>
                              <w:shd w:val="clear" w:color="auto" w:fill="FFFFFF"/>
                              <w:spacing w:before="100" w:beforeAutospacing="1" w:after="100" w:afterAutospacing="1" w:line="276" w:lineRule="auto"/>
                              <w:ind w:left="360"/>
                              <w:jc w:val="both"/>
                              <w:rPr>
                                <w:rFonts w:ascii="Verdana" w:eastAsia="Times New Roman" w:hAnsi="Verdana" w:cs="Open Sans"/>
                                <w:color w:val="941651"/>
                                <w:sz w:val="20"/>
                                <w:szCs w:val="20"/>
                              </w:rPr>
                            </w:pPr>
                            <w:r w:rsidRPr="008F7B2B">
                              <w:rPr>
                                <w:rFonts w:ascii="Verdana" w:eastAsia="Times New Roman" w:hAnsi="Verdana" w:cs="Open Sans"/>
                                <w:color w:val="941651"/>
                                <w:sz w:val="20"/>
                                <w:szCs w:val="20"/>
                                <w:lang w:eastAsia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D5CB4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" filled="f" strokeweight=".5pt">
                <v:textbox style="mso-fit-shape-to-text:t">
                  <w:txbxContent>
                    <w:p w14:paraId="454406E4" w14:textId="77777777" w:rsidR="00342C52" w:rsidRDefault="00342C52" w:rsidP="00342C52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shd w:val="clear" w:color="auto" w:fill="FFFFFF"/>
                        <w:spacing w:before="100" w:beforeAutospacing="1" w:after="100" w:afterAutospacing="1" w:line="276" w:lineRule="auto"/>
                        <w:ind w:left="360"/>
                        <w:jc w:val="both"/>
                        <w:rPr>
                          <w:rFonts w:ascii="Verdana" w:eastAsia="Times New Roman" w:hAnsi="Verdana" w:cs="Open Sans"/>
                          <w:color w:val="333333"/>
                          <w:sz w:val="20"/>
                          <w:szCs w:val="20"/>
                          <w:lang w:eastAsia="es-ES_tradnl"/>
                        </w:rPr>
                      </w:pPr>
                      <w:r w:rsidRPr="000E7379">
                        <w:rPr>
                          <w:rFonts w:ascii="Verdana" w:eastAsia="Times New Roman" w:hAnsi="Verdana" w:cs="Open Sans"/>
                          <w:color w:val="333333"/>
                          <w:sz w:val="20"/>
                          <w:szCs w:val="20"/>
                          <w:lang w:eastAsia="es-ES_tradnl"/>
                        </w:rPr>
                        <w:t xml:space="preserve">Se estimula el micromecenazgo y se incrementan los porcentajes de deducción: en el caso de personas físicas, se eleva de 150€ a 250€ la base sobre la que se puede deducir el 80% de la donación </w:t>
                      </w:r>
                      <w:r>
                        <w:rPr>
                          <w:rFonts w:ascii="Verdana" w:eastAsia="Times New Roman" w:hAnsi="Verdana" w:cs="Open Sans"/>
                          <w:color w:val="333333"/>
                          <w:sz w:val="20"/>
                          <w:szCs w:val="20"/>
                          <w:lang w:eastAsia="es-ES_tradnl"/>
                        </w:rPr>
                        <w:t xml:space="preserve">del </w:t>
                      </w:r>
                      <w:r w:rsidRPr="000E7379">
                        <w:rPr>
                          <w:rFonts w:ascii="Verdana" w:eastAsia="Times New Roman" w:hAnsi="Verdana" w:cs="Open Sans"/>
                          <w:color w:val="333333"/>
                          <w:sz w:val="20"/>
                          <w:szCs w:val="20"/>
                          <w:lang w:eastAsia="es-ES_tradnl"/>
                        </w:rPr>
                        <w:t xml:space="preserve">IRPF y por el resto habrá un 40% de deducción (en lugar del 35% vigente). En el caso de personas jurídicas, las deducciones en el impuesto </w:t>
                      </w:r>
                      <w:r>
                        <w:rPr>
                          <w:rFonts w:ascii="Verdana" w:eastAsia="Times New Roman" w:hAnsi="Verdana" w:cs="Open Sans"/>
                          <w:color w:val="333333"/>
                          <w:sz w:val="20"/>
                          <w:szCs w:val="20"/>
                          <w:lang w:eastAsia="es-ES_tradnl"/>
                        </w:rPr>
                        <w:t>sobre</w:t>
                      </w:r>
                      <w:r w:rsidRPr="000E7379">
                        <w:rPr>
                          <w:rFonts w:ascii="Verdana" w:eastAsia="Times New Roman" w:hAnsi="Verdana" w:cs="Open Sans"/>
                          <w:color w:val="333333"/>
                          <w:sz w:val="20"/>
                          <w:szCs w:val="20"/>
                          <w:lang w:eastAsia="es-ES_tradnl"/>
                        </w:rPr>
                        <w:t xml:space="preserve"> sociedades también pasan del 35 al 40%. En ambos casos, para premiar el mecenazgo sostenido, la deducción aumenta al 45% en el caso de personas físicas y al 50% para las personas jurídicas (ambos ahora al 40%) si, en los </w:t>
                      </w:r>
                      <w:r>
                        <w:rPr>
                          <w:rFonts w:ascii="Verdana" w:eastAsia="Times New Roman" w:hAnsi="Verdana" w:cs="Open Sans"/>
                          <w:color w:val="333333"/>
                          <w:sz w:val="20"/>
                          <w:szCs w:val="20"/>
                          <w:lang w:eastAsia="es-ES_tradnl"/>
                        </w:rPr>
                        <w:t>dos</w:t>
                      </w:r>
                      <w:r w:rsidRPr="000E7379">
                        <w:rPr>
                          <w:rFonts w:ascii="Verdana" w:eastAsia="Times New Roman" w:hAnsi="Verdana" w:cs="Open Sans"/>
                          <w:color w:val="333333"/>
                          <w:sz w:val="20"/>
                          <w:szCs w:val="20"/>
                          <w:lang w:eastAsia="es-ES_tradnl"/>
                        </w:rPr>
                        <w:t xml:space="preserve"> años anteriores, </w:t>
                      </w:r>
                      <w:r>
                        <w:rPr>
                          <w:rFonts w:ascii="Verdana" w:eastAsia="Times New Roman" w:hAnsi="Verdana" w:cs="Open Sans"/>
                          <w:color w:val="333333"/>
                          <w:sz w:val="20"/>
                          <w:szCs w:val="20"/>
                          <w:lang w:eastAsia="es-ES_tradnl"/>
                        </w:rPr>
                        <w:t xml:space="preserve">se </w:t>
                      </w:r>
                      <w:r w:rsidRPr="000E7379">
                        <w:rPr>
                          <w:rFonts w:ascii="Verdana" w:eastAsia="Times New Roman" w:hAnsi="Verdana" w:cs="Open Sans"/>
                          <w:color w:val="333333"/>
                          <w:sz w:val="20"/>
                          <w:szCs w:val="20"/>
                          <w:lang w:eastAsia="es-ES_tradnl"/>
                        </w:rPr>
                        <w:t>ha realizado la donación</w:t>
                      </w:r>
                      <w:r>
                        <w:rPr>
                          <w:rFonts w:ascii="Verdana" w:eastAsia="Times New Roman" w:hAnsi="Verdana" w:cs="Open Sans"/>
                          <w:color w:val="333333"/>
                          <w:sz w:val="20"/>
                          <w:szCs w:val="20"/>
                          <w:lang w:eastAsia="es-ES_tradnl"/>
                        </w:rPr>
                        <w:t xml:space="preserve"> a la misma entidad al menos por el mismo importe</w:t>
                      </w:r>
                      <w:r w:rsidRPr="000E7379">
                        <w:rPr>
                          <w:rFonts w:ascii="Verdana" w:eastAsia="Times New Roman" w:hAnsi="Verdana" w:cs="Open Sans"/>
                          <w:color w:val="333333"/>
                          <w:sz w:val="20"/>
                          <w:szCs w:val="20"/>
                          <w:lang w:eastAsia="es-ES_tradnl"/>
                        </w:rPr>
                        <w:t>.</w:t>
                      </w:r>
                    </w:p>
                    <w:p w14:paraId="39F4301D" w14:textId="77777777" w:rsidR="0070462A" w:rsidRPr="0070462A" w:rsidRDefault="0070462A" w:rsidP="0070462A">
                      <w:pPr>
                        <w:pStyle w:val="Prrafodelista"/>
                        <w:shd w:val="clear" w:color="auto" w:fill="FFFFFF"/>
                        <w:spacing w:before="100" w:beforeAutospacing="1" w:after="100" w:afterAutospacing="1" w:line="276" w:lineRule="auto"/>
                        <w:ind w:left="360"/>
                        <w:jc w:val="both"/>
                        <w:rPr>
                          <w:rFonts w:ascii="Verdana" w:eastAsia="Times New Roman" w:hAnsi="Verdana" w:cs="Open Sans"/>
                          <w:color w:val="333333"/>
                          <w:sz w:val="20"/>
                          <w:szCs w:val="20"/>
                          <w:lang w:eastAsia="es-ES_tradnl"/>
                        </w:rPr>
                      </w:pPr>
                    </w:p>
                    <w:p w14:paraId="16356A40" w14:textId="77777777" w:rsidR="0070462A" w:rsidRDefault="0070462A" w:rsidP="0070462A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shd w:val="clear" w:color="auto" w:fill="FFFFFF"/>
                        <w:spacing w:before="100" w:beforeAutospacing="1" w:after="100" w:afterAutospacing="1" w:line="276" w:lineRule="auto"/>
                        <w:ind w:left="360"/>
                        <w:jc w:val="both"/>
                        <w:rPr>
                          <w:rFonts w:ascii="Verdana" w:eastAsia="Times New Roman" w:hAnsi="Verdana" w:cs="Open Sans"/>
                          <w:color w:val="333333"/>
                          <w:sz w:val="20"/>
                          <w:szCs w:val="20"/>
                          <w:lang w:eastAsia="es-ES_tradnl"/>
                        </w:rPr>
                      </w:pPr>
                      <w:r w:rsidRPr="0070462A">
                        <w:rPr>
                          <w:rFonts w:ascii="Verdana" w:eastAsia="Times New Roman" w:hAnsi="Verdana" w:cs="Open Sans"/>
                          <w:color w:val="333333"/>
                          <w:sz w:val="20"/>
                          <w:szCs w:val="20"/>
                          <w:lang w:eastAsia="es-ES_tradnl"/>
                        </w:rPr>
                        <w:t>Se incluye en el concepto de donación fiscalmente deducible la cesión de uso de todo tipo de muebles e inmuebles dentro del concepto más genérico de donación de derechos.</w:t>
                      </w:r>
                    </w:p>
                    <w:p w14:paraId="3D5D7121" w14:textId="77777777" w:rsidR="0070462A" w:rsidRPr="0070462A" w:rsidRDefault="0070462A" w:rsidP="0070462A">
                      <w:pPr>
                        <w:pStyle w:val="Prrafodelista"/>
                        <w:rPr>
                          <w:rFonts w:ascii="Verdana" w:eastAsia="Times New Roman" w:hAnsi="Verdana" w:cs="Open Sans"/>
                          <w:color w:val="333333"/>
                          <w:sz w:val="20"/>
                          <w:szCs w:val="20"/>
                          <w:lang w:eastAsia="es-ES_tradnl"/>
                        </w:rPr>
                      </w:pPr>
                    </w:p>
                    <w:p w14:paraId="58D629F6" w14:textId="77777777" w:rsidR="0070462A" w:rsidRPr="0070462A" w:rsidRDefault="0070462A" w:rsidP="0070462A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shd w:val="clear" w:color="auto" w:fill="FFFFFF"/>
                        <w:spacing w:before="100" w:beforeAutospacing="1" w:after="100" w:afterAutospacing="1" w:line="276" w:lineRule="auto"/>
                        <w:ind w:left="360"/>
                        <w:jc w:val="both"/>
                        <w:rPr>
                          <w:rFonts w:ascii="Verdana" w:eastAsia="Times New Roman" w:hAnsi="Verdana" w:cs="Open Sans"/>
                          <w:color w:val="333333"/>
                          <w:sz w:val="20"/>
                          <w:szCs w:val="20"/>
                          <w:lang w:eastAsia="es-ES_tradnl"/>
                        </w:rPr>
                      </w:pPr>
                      <w:r w:rsidRPr="0070462A">
                        <w:rPr>
                          <w:rFonts w:ascii="Verdana" w:eastAsia="Times New Roman" w:hAnsi="Verdana" w:cs="Open Sans"/>
                          <w:color w:val="333333"/>
                          <w:sz w:val="20"/>
                          <w:szCs w:val="20"/>
                          <w:lang w:eastAsia="es-ES_tradnl"/>
                        </w:rPr>
                        <w:t>Se amplía el concepto de convenio de colaboración incluyendo de forma expresa las aportaciones en especie incluida la prestación gratuita de servicios. El colaborador podrá además difundir esta colaboración.</w:t>
                      </w:r>
                    </w:p>
                    <w:p w14:paraId="0B3C3533" w14:textId="66304FE5" w:rsidR="00342C52" w:rsidRPr="008F7B2B" w:rsidRDefault="00342C52" w:rsidP="0070462A">
                      <w:pPr>
                        <w:pStyle w:val="Prrafodelista"/>
                        <w:shd w:val="clear" w:color="auto" w:fill="FFFFFF"/>
                        <w:spacing w:before="100" w:beforeAutospacing="1" w:after="100" w:afterAutospacing="1" w:line="276" w:lineRule="auto"/>
                        <w:ind w:left="360"/>
                        <w:jc w:val="both"/>
                        <w:rPr>
                          <w:rFonts w:ascii="Verdana" w:eastAsia="Times New Roman" w:hAnsi="Verdana" w:cs="Open Sans"/>
                          <w:color w:val="941651"/>
                          <w:sz w:val="20"/>
                          <w:szCs w:val="20"/>
                        </w:rPr>
                      </w:pPr>
                      <w:r w:rsidRPr="008F7B2B">
                        <w:rPr>
                          <w:rFonts w:ascii="Verdana" w:eastAsia="Times New Roman" w:hAnsi="Verdana" w:cs="Open Sans"/>
                          <w:color w:val="941651"/>
                          <w:sz w:val="20"/>
                          <w:szCs w:val="20"/>
                          <w:lang w:eastAsia="es-ES_tradn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01FCAB" w14:textId="77777777" w:rsidR="00B7719A" w:rsidRDefault="00342C52" w:rsidP="00342C52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6C5F2A" wp14:editId="358B7F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042217222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6D4505" w14:textId="166F83FA" w:rsidR="0070462A" w:rsidRPr="0070462A" w:rsidRDefault="00342C52" w:rsidP="00342C52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shd w:val="clear" w:color="auto" w:fill="FFFFFF"/>
                              <w:spacing w:before="100" w:beforeAutospacing="1" w:after="100" w:afterAutospacing="1" w:line="276" w:lineRule="auto"/>
                              <w:ind w:left="360"/>
                              <w:jc w:val="both"/>
                              <w:rPr>
                                <w:rFonts w:ascii="Verdana" w:eastAsia="Times New Roman" w:hAnsi="Verdana" w:cs="Open Sans"/>
                                <w:color w:val="333333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0E7379">
                              <w:rPr>
                                <w:rFonts w:ascii="Verdana" w:eastAsia="Times New Roman" w:hAnsi="Verdana" w:cs="Open Sans"/>
                                <w:color w:val="333333"/>
                                <w:sz w:val="20"/>
                                <w:szCs w:val="20"/>
                                <w:lang w:eastAsia="es-ES_tradnl"/>
                              </w:rPr>
                              <w:t xml:space="preserve">Se </w:t>
                            </w:r>
                            <w:r>
                              <w:rPr>
                                <w:rFonts w:ascii="Verdana" w:eastAsia="Times New Roman" w:hAnsi="Verdana" w:cs="Open Sans"/>
                                <w:color w:val="333333"/>
                                <w:sz w:val="20"/>
                                <w:szCs w:val="20"/>
                                <w:lang w:eastAsia="es-ES_tradnl"/>
                              </w:rPr>
                              <w:t xml:space="preserve">incluye el </w:t>
                            </w:r>
                            <w:r w:rsidRPr="0070462A">
                              <w:rPr>
                                <w:rFonts w:ascii="Verdana" w:eastAsia="Times New Roman" w:hAnsi="Verdana" w:cs="Open Sans"/>
                                <w:color w:val="333333"/>
                                <w:sz w:val="20"/>
                                <w:szCs w:val="20"/>
                                <w:lang w:eastAsia="es-ES_tradnl"/>
                              </w:rPr>
                              <w:t xml:space="preserve">denominado </w:t>
                            </w:r>
                            <w:r w:rsidR="0070462A" w:rsidRPr="0070462A">
                              <w:rPr>
                                <w:rFonts w:ascii="Verdana" w:eastAsia="Times New Roman" w:hAnsi="Verdana" w:cs="Open Sans"/>
                                <w:color w:val="333333"/>
                                <w:sz w:val="20"/>
                                <w:szCs w:val="20"/>
                                <w:lang w:eastAsia="es-ES_tradnl"/>
                              </w:rPr>
                              <w:t>mecenazgo de reconocimiento o recompensa que permite que el donante obtenga retornos simbólicos en forma de contraprestación de bienes o servicios, siempre que no representen más del 15% del valor de la donación con un tope máximo de 25.000 €. </w:t>
                            </w:r>
                          </w:p>
                          <w:p w14:paraId="6FB18785" w14:textId="77777777" w:rsidR="00342C52" w:rsidRDefault="00342C52" w:rsidP="00342C52">
                            <w:pPr>
                              <w:pStyle w:val="Prrafodelista"/>
                              <w:shd w:val="clear" w:color="auto" w:fill="FFFFFF"/>
                              <w:spacing w:before="100" w:beforeAutospacing="1" w:after="100" w:afterAutospacing="1" w:line="276" w:lineRule="auto"/>
                              <w:ind w:left="360"/>
                              <w:jc w:val="both"/>
                              <w:rPr>
                                <w:rFonts w:ascii="Verdana" w:eastAsia="Times New Roman" w:hAnsi="Verdana" w:cs="Open Sans"/>
                                <w:color w:val="333333"/>
                                <w:sz w:val="20"/>
                                <w:szCs w:val="20"/>
                                <w:lang w:eastAsia="es-ES_tradnl"/>
                              </w:rPr>
                            </w:pPr>
                          </w:p>
                          <w:p w14:paraId="08A8DF13" w14:textId="77777777" w:rsidR="00342C52" w:rsidRDefault="00342C52" w:rsidP="00342C52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shd w:val="clear" w:color="auto" w:fill="FFFFFF"/>
                              <w:spacing w:before="100" w:beforeAutospacing="1" w:after="100" w:afterAutospacing="1" w:line="276" w:lineRule="auto"/>
                              <w:ind w:left="360"/>
                              <w:jc w:val="both"/>
                              <w:rPr>
                                <w:rFonts w:ascii="Verdana" w:eastAsia="Times New Roman" w:hAnsi="Verdana" w:cs="Open Sans"/>
                                <w:color w:val="333333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0E7379">
                              <w:rPr>
                                <w:rFonts w:ascii="Verdana" w:eastAsia="Times New Roman" w:hAnsi="Verdana" w:cs="Open Sans"/>
                                <w:color w:val="333333"/>
                                <w:sz w:val="20"/>
                                <w:szCs w:val="20"/>
                                <w:lang w:eastAsia="es-ES_tradnl"/>
                              </w:rPr>
                              <w:t>Se amplía</w:t>
                            </w:r>
                            <w:r>
                              <w:rPr>
                                <w:rFonts w:ascii="Verdana" w:eastAsia="Times New Roman" w:hAnsi="Verdana" w:cs="Open Sans"/>
                                <w:color w:val="333333"/>
                                <w:sz w:val="20"/>
                                <w:szCs w:val="20"/>
                                <w:lang w:eastAsia="es-ES_tradnl"/>
                              </w:rPr>
                              <w:t>n</w:t>
                            </w:r>
                            <w:r w:rsidRPr="000E7379">
                              <w:rPr>
                                <w:rFonts w:ascii="Verdana" w:eastAsia="Times New Roman" w:hAnsi="Verdana" w:cs="Open Sans"/>
                                <w:color w:val="333333"/>
                                <w:sz w:val="20"/>
                                <w:szCs w:val="20"/>
                                <w:lang w:eastAsia="es-ES_tradnl"/>
                              </w:rPr>
                              <w:t xml:space="preserve"> las modalidades de explotaciones económicas exentas, cuando sean desarrolladas por entidades sin ánimo de lucro, en las siguientes actividades: desarrollo e innovación, prestaciones de servicios de inserción sociolaboral de personas en riesgo de exclusión social y de enseñanza y formación profesional vinculadas a estudiantes de altas capacidades.</w:t>
                            </w:r>
                          </w:p>
                          <w:p w14:paraId="518282A4" w14:textId="77777777" w:rsidR="00342C52" w:rsidRDefault="00342C52" w:rsidP="00342C52">
                            <w:pPr>
                              <w:pStyle w:val="Prrafodelista"/>
                              <w:shd w:val="clear" w:color="auto" w:fill="FFFFFF"/>
                              <w:spacing w:before="100" w:beforeAutospacing="1" w:after="100" w:afterAutospacing="1" w:line="276" w:lineRule="auto"/>
                              <w:ind w:left="360"/>
                              <w:jc w:val="both"/>
                              <w:rPr>
                                <w:rFonts w:ascii="Verdana" w:eastAsia="Times New Roman" w:hAnsi="Verdana" w:cs="Open Sans"/>
                                <w:color w:val="333333"/>
                                <w:sz w:val="20"/>
                                <w:szCs w:val="20"/>
                                <w:lang w:eastAsia="es-ES_tradnl"/>
                              </w:rPr>
                            </w:pPr>
                          </w:p>
                          <w:p w14:paraId="16DAA3E6" w14:textId="77777777" w:rsidR="00342C52" w:rsidRPr="00EA3F2B" w:rsidRDefault="00342C52" w:rsidP="00EA3F2B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shd w:val="clear" w:color="auto" w:fill="FFFFFF"/>
                              <w:spacing w:before="100" w:beforeAutospacing="1" w:after="100" w:afterAutospacing="1" w:line="276" w:lineRule="auto"/>
                              <w:ind w:left="360"/>
                              <w:jc w:val="both"/>
                              <w:rPr>
                                <w:rFonts w:ascii="Verdana" w:eastAsia="Times New Roman" w:hAnsi="Verdana" w:cs="Open Sans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0E7379">
                              <w:rPr>
                                <w:rFonts w:ascii="Verdana" w:eastAsia="Times New Roman" w:hAnsi="Verdana" w:cs="Open Sans"/>
                                <w:color w:val="333333"/>
                                <w:sz w:val="20"/>
                                <w:szCs w:val="20"/>
                                <w:lang w:eastAsia="es-ES_tradnl"/>
                              </w:rPr>
                              <w:t>Se refuerza el automatismo por aplicar exenciones de tributos de competencia local a los bienes de entidades sin ánimo de lucro.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C5F2A" 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" filled="f" strokeweight=".5pt">
                <v:textbox style="mso-fit-shape-to-text:t">
                  <w:txbxContent>
                    <w:p w14:paraId="546D4505" w14:textId="166F83FA" w:rsidR="0070462A" w:rsidRPr="0070462A" w:rsidRDefault="00342C52" w:rsidP="00342C52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shd w:val="clear" w:color="auto" w:fill="FFFFFF"/>
                        <w:spacing w:before="100" w:beforeAutospacing="1" w:after="100" w:afterAutospacing="1" w:line="276" w:lineRule="auto"/>
                        <w:ind w:left="360"/>
                        <w:jc w:val="both"/>
                        <w:rPr>
                          <w:rFonts w:ascii="Verdana" w:eastAsia="Times New Roman" w:hAnsi="Verdana" w:cs="Open Sans"/>
                          <w:color w:val="333333"/>
                          <w:sz w:val="20"/>
                          <w:szCs w:val="20"/>
                          <w:lang w:eastAsia="es-ES_tradnl"/>
                        </w:rPr>
                      </w:pPr>
                      <w:r w:rsidRPr="000E7379">
                        <w:rPr>
                          <w:rFonts w:ascii="Verdana" w:eastAsia="Times New Roman" w:hAnsi="Verdana" w:cs="Open Sans"/>
                          <w:color w:val="333333"/>
                          <w:sz w:val="20"/>
                          <w:szCs w:val="20"/>
                          <w:lang w:eastAsia="es-ES_tradnl"/>
                        </w:rPr>
                        <w:t xml:space="preserve">Se </w:t>
                      </w:r>
                      <w:r>
                        <w:rPr>
                          <w:rFonts w:ascii="Verdana" w:eastAsia="Times New Roman" w:hAnsi="Verdana" w:cs="Open Sans"/>
                          <w:color w:val="333333"/>
                          <w:sz w:val="20"/>
                          <w:szCs w:val="20"/>
                          <w:lang w:eastAsia="es-ES_tradnl"/>
                        </w:rPr>
                        <w:t xml:space="preserve">incluye el </w:t>
                      </w:r>
                      <w:r w:rsidRPr="0070462A">
                        <w:rPr>
                          <w:rFonts w:ascii="Verdana" w:eastAsia="Times New Roman" w:hAnsi="Verdana" w:cs="Open Sans"/>
                          <w:color w:val="333333"/>
                          <w:sz w:val="20"/>
                          <w:szCs w:val="20"/>
                          <w:lang w:eastAsia="es-ES_tradnl"/>
                        </w:rPr>
                        <w:t xml:space="preserve">denominado </w:t>
                      </w:r>
                      <w:r w:rsidR="0070462A" w:rsidRPr="0070462A">
                        <w:rPr>
                          <w:rFonts w:ascii="Verdana" w:eastAsia="Times New Roman" w:hAnsi="Verdana" w:cs="Open Sans"/>
                          <w:color w:val="333333"/>
                          <w:sz w:val="20"/>
                          <w:szCs w:val="20"/>
                          <w:lang w:eastAsia="es-ES_tradnl"/>
                        </w:rPr>
                        <w:t>mecenazgo de reconocimiento o recompensa que permite que el donante obtenga retornos simbólicos en forma de contraprestación de bienes o servicios, siempre que no representen más del 15% del valor de la donación con un tope máximo de 25.000 €. </w:t>
                      </w:r>
                    </w:p>
                    <w:p w14:paraId="6FB18785" w14:textId="77777777" w:rsidR="00342C52" w:rsidRDefault="00342C52" w:rsidP="00342C52">
                      <w:pPr>
                        <w:pStyle w:val="Prrafodelista"/>
                        <w:shd w:val="clear" w:color="auto" w:fill="FFFFFF"/>
                        <w:spacing w:before="100" w:beforeAutospacing="1" w:after="100" w:afterAutospacing="1" w:line="276" w:lineRule="auto"/>
                        <w:ind w:left="360"/>
                        <w:jc w:val="both"/>
                        <w:rPr>
                          <w:rFonts w:ascii="Verdana" w:eastAsia="Times New Roman" w:hAnsi="Verdana" w:cs="Open Sans"/>
                          <w:color w:val="333333"/>
                          <w:sz w:val="20"/>
                          <w:szCs w:val="20"/>
                          <w:lang w:eastAsia="es-ES_tradnl"/>
                        </w:rPr>
                      </w:pPr>
                    </w:p>
                    <w:p w14:paraId="08A8DF13" w14:textId="77777777" w:rsidR="00342C52" w:rsidRDefault="00342C52" w:rsidP="00342C52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shd w:val="clear" w:color="auto" w:fill="FFFFFF"/>
                        <w:spacing w:before="100" w:beforeAutospacing="1" w:after="100" w:afterAutospacing="1" w:line="276" w:lineRule="auto"/>
                        <w:ind w:left="360"/>
                        <w:jc w:val="both"/>
                        <w:rPr>
                          <w:rFonts w:ascii="Verdana" w:eastAsia="Times New Roman" w:hAnsi="Verdana" w:cs="Open Sans"/>
                          <w:color w:val="333333"/>
                          <w:sz w:val="20"/>
                          <w:szCs w:val="20"/>
                          <w:lang w:eastAsia="es-ES_tradnl"/>
                        </w:rPr>
                      </w:pPr>
                      <w:r w:rsidRPr="000E7379">
                        <w:rPr>
                          <w:rFonts w:ascii="Verdana" w:eastAsia="Times New Roman" w:hAnsi="Verdana" w:cs="Open Sans"/>
                          <w:color w:val="333333"/>
                          <w:sz w:val="20"/>
                          <w:szCs w:val="20"/>
                          <w:lang w:eastAsia="es-ES_tradnl"/>
                        </w:rPr>
                        <w:t>Se amplía</w:t>
                      </w:r>
                      <w:r>
                        <w:rPr>
                          <w:rFonts w:ascii="Verdana" w:eastAsia="Times New Roman" w:hAnsi="Verdana" w:cs="Open Sans"/>
                          <w:color w:val="333333"/>
                          <w:sz w:val="20"/>
                          <w:szCs w:val="20"/>
                          <w:lang w:eastAsia="es-ES_tradnl"/>
                        </w:rPr>
                        <w:t>n</w:t>
                      </w:r>
                      <w:r w:rsidRPr="000E7379">
                        <w:rPr>
                          <w:rFonts w:ascii="Verdana" w:eastAsia="Times New Roman" w:hAnsi="Verdana" w:cs="Open Sans"/>
                          <w:color w:val="333333"/>
                          <w:sz w:val="20"/>
                          <w:szCs w:val="20"/>
                          <w:lang w:eastAsia="es-ES_tradnl"/>
                        </w:rPr>
                        <w:t xml:space="preserve"> las modalidades de explotaciones económicas exentas, cuando sean desarrolladas por entidades sin ánimo de lucro, en las siguientes actividades: desarrollo e innovación, prestaciones de servicios de inserción sociolaboral de personas en riesgo de exclusión social y de enseñanza y formación profesional vinculadas a estudiantes de altas capacidades.</w:t>
                      </w:r>
                    </w:p>
                    <w:p w14:paraId="518282A4" w14:textId="77777777" w:rsidR="00342C52" w:rsidRDefault="00342C52" w:rsidP="00342C52">
                      <w:pPr>
                        <w:pStyle w:val="Prrafodelista"/>
                        <w:shd w:val="clear" w:color="auto" w:fill="FFFFFF"/>
                        <w:spacing w:before="100" w:beforeAutospacing="1" w:after="100" w:afterAutospacing="1" w:line="276" w:lineRule="auto"/>
                        <w:ind w:left="360"/>
                        <w:jc w:val="both"/>
                        <w:rPr>
                          <w:rFonts w:ascii="Verdana" w:eastAsia="Times New Roman" w:hAnsi="Verdana" w:cs="Open Sans"/>
                          <w:color w:val="333333"/>
                          <w:sz w:val="20"/>
                          <w:szCs w:val="20"/>
                          <w:lang w:eastAsia="es-ES_tradnl"/>
                        </w:rPr>
                      </w:pPr>
                    </w:p>
                    <w:p w14:paraId="16DAA3E6" w14:textId="77777777" w:rsidR="00342C52" w:rsidRPr="00EA3F2B" w:rsidRDefault="00342C52" w:rsidP="00EA3F2B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shd w:val="clear" w:color="auto" w:fill="FFFFFF"/>
                        <w:spacing w:before="100" w:beforeAutospacing="1" w:after="100" w:afterAutospacing="1" w:line="276" w:lineRule="auto"/>
                        <w:ind w:left="360"/>
                        <w:jc w:val="both"/>
                        <w:rPr>
                          <w:rFonts w:ascii="Verdana" w:eastAsia="Times New Roman" w:hAnsi="Verdana" w:cs="Open Sans"/>
                          <w:color w:val="333333"/>
                          <w:sz w:val="20"/>
                          <w:szCs w:val="20"/>
                        </w:rPr>
                      </w:pPr>
                      <w:r w:rsidRPr="000E7379">
                        <w:rPr>
                          <w:rFonts w:ascii="Verdana" w:eastAsia="Times New Roman" w:hAnsi="Verdana" w:cs="Open Sans"/>
                          <w:color w:val="333333"/>
                          <w:sz w:val="20"/>
                          <w:szCs w:val="20"/>
                          <w:lang w:eastAsia="es-ES_tradnl"/>
                        </w:rPr>
                        <w:t>Se refuerza el automatismo por aplicar exenciones de tributos de competencia local a los bienes de entidades sin ánimo de lucro.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E2B6E8" w14:textId="727A7A95" w:rsidR="00660A35" w:rsidRDefault="00660A35" w:rsidP="00342C52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Aptos" w:hAnsi="Aptos"/>
          <w:color w:val="212121"/>
        </w:rPr>
        <w:t>"</w:t>
      </w:r>
      <w:r w:rsidRPr="009726BD">
        <w:rPr>
          <w:rFonts w:ascii="Verdana" w:hAnsi="Verdana"/>
          <w:b/>
          <w:bCs/>
          <w:sz w:val="20"/>
          <w:szCs w:val="20"/>
        </w:rPr>
        <w:t>Estamos seguros de que esta modificación de la Ley de Mecenazgo será un estímulo entre la ciudadanía y el sector privado para elevar el valor de las donaciones, herramienta esencial para la sostenibilidad de las causas de interés general desarrolladas por las entidades no lucrativas</w:t>
      </w:r>
      <w:r w:rsidRPr="009726BD">
        <w:rPr>
          <w:rFonts w:ascii="Verdana" w:hAnsi="Verdana"/>
          <w:sz w:val="20"/>
          <w:szCs w:val="20"/>
        </w:rPr>
        <w:t xml:space="preserve">”, </w:t>
      </w:r>
      <w:r>
        <w:rPr>
          <w:rFonts w:ascii="Verdana" w:hAnsi="Verdana"/>
          <w:sz w:val="20"/>
          <w:szCs w:val="20"/>
        </w:rPr>
        <w:t>explica</w:t>
      </w:r>
      <w:r w:rsidRPr="009726BD">
        <w:rPr>
          <w:rFonts w:ascii="Verdana" w:hAnsi="Verdana"/>
          <w:sz w:val="20"/>
          <w:szCs w:val="20"/>
        </w:rPr>
        <w:t xml:space="preserve"> </w:t>
      </w:r>
      <w:proofErr w:type="spellStart"/>
      <w:r w:rsidRPr="00660A35">
        <w:rPr>
          <w:rFonts w:ascii="Verdana" w:hAnsi="Verdana"/>
          <w:b/>
          <w:bCs/>
          <w:color w:val="E6007E"/>
          <w:sz w:val="20"/>
          <w:szCs w:val="20"/>
        </w:rPr>
        <w:t>Glòria</w:t>
      </w:r>
      <w:proofErr w:type="spellEnd"/>
      <w:r w:rsidRPr="00660A35">
        <w:rPr>
          <w:rFonts w:ascii="Verdana" w:hAnsi="Verdana"/>
          <w:b/>
          <w:bCs/>
          <w:color w:val="E6007E"/>
          <w:sz w:val="20"/>
          <w:szCs w:val="20"/>
        </w:rPr>
        <w:t xml:space="preserve"> Oliver, presidenta de la Asociación Española de </w:t>
      </w:r>
      <w:proofErr w:type="spellStart"/>
      <w:r w:rsidRPr="00660A35">
        <w:rPr>
          <w:rFonts w:ascii="Verdana" w:hAnsi="Verdana"/>
          <w:b/>
          <w:bCs/>
          <w:color w:val="E6007E"/>
          <w:sz w:val="20"/>
          <w:szCs w:val="20"/>
        </w:rPr>
        <w:t>Fundraising</w:t>
      </w:r>
      <w:proofErr w:type="spellEnd"/>
      <w:r w:rsidRPr="00660A35">
        <w:rPr>
          <w:rFonts w:ascii="Verdana" w:hAnsi="Verdana"/>
          <w:b/>
          <w:bCs/>
          <w:color w:val="E6007E"/>
          <w:sz w:val="20"/>
          <w:szCs w:val="20"/>
        </w:rPr>
        <w:t xml:space="preserve"> (</w:t>
      </w:r>
      <w:proofErr w:type="spellStart"/>
      <w:r w:rsidRPr="00660A35">
        <w:rPr>
          <w:rFonts w:ascii="Verdana" w:hAnsi="Verdana"/>
          <w:b/>
          <w:bCs/>
          <w:color w:val="E6007E"/>
          <w:sz w:val="20"/>
          <w:szCs w:val="20"/>
        </w:rPr>
        <w:t>AEFr</w:t>
      </w:r>
      <w:proofErr w:type="spellEnd"/>
      <w:r w:rsidRPr="00660A35">
        <w:rPr>
          <w:rFonts w:ascii="Verdana" w:hAnsi="Verdana"/>
          <w:b/>
          <w:bCs/>
          <w:color w:val="E6007E"/>
          <w:sz w:val="20"/>
          <w:szCs w:val="20"/>
        </w:rPr>
        <w:t>).</w:t>
      </w:r>
      <w:r w:rsidRPr="009726BD">
        <w:rPr>
          <w:rFonts w:ascii="Verdana" w:hAnsi="Verdana"/>
          <w:b/>
          <w:bCs/>
          <w:sz w:val="20"/>
          <w:szCs w:val="20"/>
        </w:rPr>
        <w:t xml:space="preserve"> Esta modificación de la Ley supondrá una importante transformación para el Tercer Sector, ya que “facilita y reconoce la implicación y el compromiso de la ciudadanía en los problemas de la sociedad, desde una perspectiva de altruismo y, en definitiva, elevando el Estado del Bienestar”</w:t>
      </w:r>
      <w:r>
        <w:rPr>
          <w:rFonts w:ascii="Verdana" w:hAnsi="Verdana"/>
          <w:b/>
          <w:bCs/>
          <w:sz w:val="20"/>
          <w:szCs w:val="20"/>
        </w:rPr>
        <w:t>.</w:t>
      </w:r>
    </w:p>
    <w:p w14:paraId="44917C9F" w14:textId="300FDECA" w:rsidR="00342C52" w:rsidRPr="00B7719A" w:rsidRDefault="00342C52" w:rsidP="00342C52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CB22D2">
        <w:rPr>
          <w:rFonts w:ascii="Verdana" w:hAnsi="Verdana"/>
          <w:b/>
          <w:bCs/>
          <w:sz w:val="20"/>
          <w:szCs w:val="20"/>
        </w:rPr>
        <w:t>“Esta reforma normativa es un importante paso en el reconocimiento de la imprescindible labor que las entidades no lucrativas (ENL) llevan a cabo en España para cumplir los fines de interés general</w:t>
      </w:r>
      <w:r w:rsidR="00CB22D2" w:rsidRPr="00CB22D2">
        <w:rPr>
          <w:rFonts w:ascii="Verdana" w:hAnsi="Verdana"/>
          <w:b/>
          <w:bCs/>
          <w:sz w:val="20"/>
          <w:szCs w:val="20"/>
        </w:rPr>
        <w:t xml:space="preserve"> y esperamos que no haya ningún problema en su convalidación en las Cortes</w:t>
      </w:r>
      <w:r w:rsidRPr="00CB22D2">
        <w:rPr>
          <w:rFonts w:ascii="Verdana" w:hAnsi="Verdana"/>
          <w:b/>
          <w:bCs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 xml:space="preserve">, explica la </w:t>
      </w:r>
      <w:r w:rsidRPr="00660A35">
        <w:rPr>
          <w:rFonts w:ascii="Verdana" w:hAnsi="Verdana"/>
          <w:b/>
          <w:bCs/>
          <w:color w:val="E6007E"/>
          <w:sz w:val="20"/>
          <w:szCs w:val="20"/>
        </w:rPr>
        <w:t>presidenta de la AEF, Pilar García Ceballos-Zúñiga</w:t>
      </w:r>
      <w:r>
        <w:rPr>
          <w:rFonts w:ascii="Verdana" w:hAnsi="Verdana"/>
          <w:sz w:val="20"/>
          <w:szCs w:val="20"/>
        </w:rPr>
        <w:t xml:space="preserve">. </w:t>
      </w:r>
      <w:r w:rsidRPr="00CB22D2">
        <w:rPr>
          <w:rFonts w:ascii="Verdana" w:hAnsi="Verdana"/>
          <w:b/>
          <w:bCs/>
          <w:sz w:val="20"/>
          <w:szCs w:val="20"/>
        </w:rPr>
        <w:t>“Cuando hablamos de filantropía y mecenazgo hablamos de investigación de enfermedades, de inversión en educación y en cultura, de proyectos medioambientales, de inclusión de personas con discapacidad y de otras muchas actividades que mejoran la vida de la ciudadanía. Las ENL llevan a cabo una actividad social fundamental y necesaria porque contribuyen a cubrir necesidades esenciales no atendidas ni por el sector privado ni por el sector público. Son la expresión de la acción filantrópica, del compromiso, del altruismo y de la sensibilidad individual y social”</w:t>
      </w:r>
      <w:r w:rsidR="00CB22D2">
        <w:rPr>
          <w:rFonts w:ascii="Verdana" w:hAnsi="Verdana"/>
          <w:b/>
          <w:bCs/>
          <w:sz w:val="20"/>
          <w:szCs w:val="20"/>
        </w:rPr>
        <w:t>.</w:t>
      </w:r>
    </w:p>
    <w:p w14:paraId="661341BA" w14:textId="77777777" w:rsidR="00A97F95" w:rsidRPr="00A97F95" w:rsidRDefault="00A97F95" w:rsidP="00A97F95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A97F95">
        <w:rPr>
          <w:rFonts w:ascii="Verdana" w:hAnsi="Verdana"/>
          <w:sz w:val="20"/>
          <w:szCs w:val="20"/>
        </w:rPr>
        <w:t>Por su parte,</w:t>
      </w:r>
      <w:r w:rsidRPr="00A97F95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660A35">
        <w:rPr>
          <w:rFonts w:ascii="Verdana" w:hAnsi="Verdana"/>
          <w:b/>
          <w:bCs/>
          <w:color w:val="E6007E"/>
          <w:sz w:val="20"/>
          <w:szCs w:val="20"/>
        </w:rPr>
        <w:t>Eugènia</w:t>
      </w:r>
      <w:proofErr w:type="spellEnd"/>
      <w:r w:rsidRPr="00660A35">
        <w:rPr>
          <w:rFonts w:ascii="Verdana" w:hAnsi="Verdana"/>
          <w:b/>
          <w:bCs/>
          <w:color w:val="E6007E"/>
          <w:sz w:val="20"/>
          <w:szCs w:val="20"/>
        </w:rPr>
        <w:t xml:space="preserve"> </w:t>
      </w:r>
      <w:proofErr w:type="spellStart"/>
      <w:r w:rsidRPr="00660A35">
        <w:rPr>
          <w:rFonts w:ascii="Verdana" w:hAnsi="Verdana"/>
          <w:b/>
          <w:bCs/>
          <w:color w:val="E6007E"/>
          <w:sz w:val="20"/>
          <w:szCs w:val="20"/>
        </w:rPr>
        <w:t>Bieto</w:t>
      </w:r>
      <w:proofErr w:type="spellEnd"/>
      <w:r w:rsidRPr="00660A35">
        <w:rPr>
          <w:rFonts w:ascii="Verdana" w:hAnsi="Verdana"/>
          <w:b/>
          <w:bCs/>
          <w:color w:val="E6007E"/>
          <w:sz w:val="20"/>
          <w:szCs w:val="20"/>
        </w:rPr>
        <w:t xml:space="preserve">, presidenta de la Coordinadora Catalana de </w:t>
      </w:r>
      <w:proofErr w:type="spellStart"/>
      <w:r w:rsidRPr="00660A35">
        <w:rPr>
          <w:rFonts w:ascii="Verdana" w:hAnsi="Verdana"/>
          <w:b/>
          <w:bCs/>
          <w:color w:val="E6007E"/>
          <w:sz w:val="20"/>
          <w:szCs w:val="20"/>
        </w:rPr>
        <w:t>Fundacions</w:t>
      </w:r>
      <w:proofErr w:type="spellEnd"/>
      <w:r w:rsidRPr="00A97F95">
        <w:rPr>
          <w:rFonts w:ascii="Verdana" w:hAnsi="Verdana"/>
          <w:sz w:val="20"/>
          <w:szCs w:val="20"/>
        </w:rPr>
        <w:t>, apunta que</w:t>
      </w:r>
      <w:r w:rsidRPr="00A97F95">
        <w:rPr>
          <w:rFonts w:ascii="Verdana" w:hAnsi="Verdana"/>
          <w:b/>
          <w:bCs/>
          <w:sz w:val="20"/>
          <w:szCs w:val="20"/>
        </w:rPr>
        <w:t xml:space="preserve"> “después de varios intentos fallidos, se trata de una </w:t>
      </w:r>
      <w:r w:rsidRPr="00A97F95">
        <w:rPr>
          <w:rFonts w:ascii="Verdana" w:hAnsi="Verdana"/>
          <w:b/>
          <w:bCs/>
          <w:sz w:val="20"/>
          <w:szCs w:val="20"/>
        </w:rPr>
        <w:lastRenderedPageBreak/>
        <w:t>gran noticia para el sector fundacional y representa un claro avance, que reconoce e incentiva el compromiso de la sociedad civil con la filantropía, algo que, sin duda contribuirá a incrementar los recursos de las fundaciones y otras entidades del Tercer Sector. Desde la CCF consideramos que es también un premio al esfuerzo titánico llevado a cabo durante muchos años por los principales agentes del sector por demostrar la necesidad de esta reforma, y al gran consenso político logrado”.</w:t>
      </w:r>
    </w:p>
    <w:p w14:paraId="0BCD56CA" w14:textId="77777777" w:rsidR="00A97F95" w:rsidRPr="00A97F95" w:rsidRDefault="00A97F95" w:rsidP="00A97F95">
      <w:pPr>
        <w:spacing w:after="0" w:line="240" w:lineRule="auto"/>
        <w:rPr>
          <w:rFonts w:ascii="Calibri" w:eastAsia="Times New Roman" w:hAnsi="Calibri" w:cs="Calibri"/>
          <w:color w:val="212121"/>
          <w:sz w:val="20"/>
          <w:szCs w:val="20"/>
          <w:lang w:eastAsia="es-ES_tradnl"/>
        </w:rPr>
      </w:pPr>
      <w:r w:rsidRPr="00A97F95">
        <w:rPr>
          <w:rFonts w:ascii="Calibri" w:eastAsia="Times New Roman" w:hAnsi="Calibri" w:cs="Calibri"/>
          <w:color w:val="212121"/>
          <w:sz w:val="20"/>
          <w:szCs w:val="20"/>
          <w:lang w:eastAsia="es-ES_tradnl"/>
        </w:rPr>
        <w:t> </w:t>
      </w:r>
    </w:p>
    <w:p w14:paraId="180736C3" w14:textId="77777777" w:rsidR="00A97F95" w:rsidRDefault="00A97F95" w:rsidP="00342C52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57D67FBB" w14:textId="1881CF9A" w:rsidR="009726BD" w:rsidRDefault="009726BD" w:rsidP="00342C52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“Estamos felices por la respuesta a una reivindicación histórica como es que la legislación en materia de mecenazgo se adapte al siglo XXI, más europea y justa que pone en valor la solidaridad y la participación privada en el interés público”</w:t>
      </w:r>
      <w:r w:rsidRPr="009726BD">
        <w:rPr>
          <w:rFonts w:ascii="Verdana" w:hAnsi="Verdana"/>
          <w:color w:val="000000" w:themeColor="text1"/>
          <w:sz w:val="20"/>
          <w:szCs w:val="20"/>
        </w:rPr>
        <w:t xml:space="preserve">, asegura </w:t>
      </w:r>
      <w:r w:rsidRPr="00660A35">
        <w:rPr>
          <w:rFonts w:ascii="Verdana" w:hAnsi="Verdana"/>
          <w:b/>
          <w:bCs/>
          <w:color w:val="E6007E"/>
          <w:sz w:val="20"/>
          <w:szCs w:val="20"/>
        </w:rPr>
        <w:t xml:space="preserve">Maite Esteve, de la Fundación Catalunya Cultura. </w:t>
      </w:r>
      <w:r>
        <w:rPr>
          <w:rFonts w:ascii="Verdana" w:hAnsi="Verdana"/>
          <w:b/>
          <w:bCs/>
          <w:sz w:val="20"/>
          <w:szCs w:val="20"/>
        </w:rPr>
        <w:t>“Queda camino por recorrer pero celebramos el avance y agradecemos a tantas personas que, desde múltiples plataformas lo han hecho posible”.</w:t>
      </w:r>
    </w:p>
    <w:p w14:paraId="565D39FE" w14:textId="0BE82787" w:rsidR="000541DB" w:rsidRDefault="000541DB" w:rsidP="00342C52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5D6823">
        <w:rPr>
          <w:rFonts w:ascii="Verdana" w:hAnsi="Verdana"/>
          <w:b/>
          <w:bCs/>
          <w:sz w:val="20"/>
          <w:szCs w:val="20"/>
        </w:rPr>
        <w:t>“Para el CERMI, en nombre de la discapacidad organizada, es un logro de la sociedad civil organizada, capitaneados por la Asociación Española de Fundaciones</w:t>
      </w:r>
      <w:r w:rsidR="005D6823" w:rsidRPr="005D6823">
        <w:rPr>
          <w:rFonts w:ascii="Verdana" w:hAnsi="Verdana"/>
          <w:b/>
          <w:bCs/>
          <w:sz w:val="20"/>
          <w:szCs w:val="20"/>
        </w:rPr>
        <w:t>”,</w:t>
      </w:r>
      <w:r w:rsidR="005D6823" w:rsidRPr="005D6823">
        <w:rPr>
          <w:rFonts w:ascii="Verdana" w:hAnsi="Verdana"/>
          <w:sz w:val="20"/>
          <w:szCs w:val="20"/>
        </w:rPr>
        <w:t xml:space="preserve"> asegura su </w:t>
      </w:r>
      <w:r w:rsidR="005D6823" w:rsidRPr="00660A35">
        <w:rPr>
          <w:rFonts w:ascii="Verdana" w:hAnsi="Verdana"/>
          <w:b/>
          <w:bCs/>
          <w:color w:val="E6007E"/>
          <w:sz w:val="20"/>
          <w:szCs w:val="20"/>
        </w:rPr>
        <w:t>presidente Luis Cayo</w:t>
      </w:r>
      <w:r w:rsidR="00D51144" w:rsidRPr="00660A35">
        <w:rPr>
          <w:rFonts w:ascii="Verdana" w:hAnsi="Verdana"/>
          <w:b/>
          <w:bCs/>
          <w:color w:val="E6007E"/>
          <w:sz w:val="20"/>
          <w:szCs w:val="20"/>
        </w:rPr>
        <w:t xml:space="preserve"> Pérez Bueno</w:t>
      </w:r>
      <w:r w:rsidR="005D6823" w:rsidRPr="00660A35">
        <w:rPr>
          <w:rFonts w:ascii="Verdana" w:hAnsi="Verdana"/>
          <w:color w:val="E6007E"/>
          <w:sz w:val="20"/>
          <w:szCs w:val="20"/>
        </w:rPr>
        <w:t xml:space="preserve">. </w:t>
      </w:r>
      <w:r w:rsidR="005D6823">
        <w:rPr>
          <w:rFonts w:ascii="Verdana" w:hAnsi="Verdana"/>
          <w:b/>
          <w:bCs/>
          <w:sz w:val="20"/>
          <w:szCs w:val="20"/>
        </w:rPr>
        <w:t>“</w:t>
      </w:r>
      <w:r w:rsidRPr="005D6823">
        <w:rPr>
          <w:rFonts w:ascii="Verdana" w:hAnsi="Verdana"/>
          <w:b/>
          <w:bCs/>
          <w:sz w:val="20"/>
          <w:szCs w:val="20"/>
        </w:rPr>
        <w:t>Es sin duda un avance fiscal a la participación cívica, del que hay que congratularse, ahora toca plantear el gran horizonte de un régimen fiscal de las entidades no lucrativas digno del siglo XXI, ambicioso y transformador, que asiente definitivamente el mecenazgo y la filantropía como un hecho social de primera magnitud”</w:t>
      </w:r>
      <w:r w:rsidR="00DA6154">
        <w:rPr>
          <w:rFonts w:ascii="Verdana" w:hAnsi="Verdana"/>
          <w:b/>
          <w:bCs/>
          <w:sz w:val="20"/>
          <w:szCs w:val="20"/>
        </w:rPr>
        <w:t>.</w:t>
      </w:r>
    </w:p>
    <w:p w14:paraId="71CED308" w14:textId="0F4F40DD" w:rsidR="00DA6154" w:rsidRPr="005D6823" w:rsidRDefault="00DA6154" w:rsidP="00342C52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DA6154">
        <w:rPr>
          <w:rFonts w:ascii="Verdana" w:hAnsi="Verdana"/>
          <w:sz w:val="20"/>
          <w:szCs w:val="20"/>
        </w:rPr>
        <w:t xml:space="preserve">El </w:t>
      </w:r>
      <w:r w:rsidRPr="00660A35">
        <w:rPr>
          <w:rFonts w:ascii="Verdana" w:hAnsi="Verdana"/>
          <w:b/>
          <w:bCs/>
          <w:color w:val="E6007E"/>
          <w:sz w:val="20"/>
          <w:szCs w:val="20"/>
        </w:rPr>
        <w:t>presidente de la Plataforma del Tercer Sector, Luciano Poyato</w:t>
      </w:r>
      <w:r w:rsidRPr="00DA6154">
        <w:rPr>
          <w:rFonts w:ascii="Verdana" w:hAnsi="Verdana"/>
          <w:sz w:val="20"/>
          <w:szCs w:val="20"/>
        </w:rPr>
        <w:t xml:space="preserve">, ha felicitado a todas las entidades y organizaciones que han trabajado para hacer posible esta reforma y ha señalado que </w:t>
      </w:r>
      <w:r w:rsidRPr="00DA6154">
        <w:rPr>
          <w:rFonts w:ascii="Verdana" w:hAnsi="Verdana"/>
          <w:b/>
          <w:bCs/>
          <w:sz w:val="20"/>
          <w:szCs w:val="20"/>
        </w:rPr>
        <w:t>“el mecenazgo es una forma de fomentar la cohesión social, logrando una mayor participación privada en actividades de interés general y, por consiguiente, generando, fortaleciendo y articulando más la sociedad civil”.</w:t>
      </w:r>
      <w:r w:rsidRPr="00DA6154">
        <w:rPr>
          <w:rFonts w:ascii="Verdana" w:hAnsi="Verdana"/>
          <w:sz w:val="20"/>
          <w:szCs w:val="20"/>
        </w:rPr>
        <w:t>  </w:t>
      </w:r>
    </w:p>
    <w:p w14:paraId="1C66C24B" w14:textId="77777777" w:rsidR="00342C52" w:rsidRDefault="00342C52" w:rsidP="00342C5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64460">
        <w:rPr>
          <w:rFonts w:ascii="Verdana" w:hAnsi="Verdana"/>
          <w:sz w:val="20"/>
          <w:szCs w:val="20"/>
        </w:rPr>
        <w:t>Sólo el gasto de las Entidades no Lucrativas (ENL) en actividades de interés general alcanza casi los 17.000 millones de</w:t>
      </w:r>
      <w:r w:rsidRPr="000E7379">
        <w:rPr>
          <w:rFonts w:ascii="Verdana" w:hAnsi="Verdana"/>
          <w:sz w:val="20"/>
          <w:szCs w:val="20"/>
        </w:rPr>
        <w:t xml:space="preserve"> euros</w:t>
      </w:r>
      <w:r>
        <w:rPr>
          <w:rFonts w:ascii="Verdana" w:hAnsi="Verdana"/>
          <w:sz w:val="20"/>
          <w:szCs w:val="20"/>
        </w:rPr>
        <w:t xml:space="preserve"> y, en </w:t>
      </w:r>
      <w:r w:rsidRPr="000E7379">
        <w:rPr>
          <w:rFonts w:ascii="Verdana" w:hAnsi="Verdana"/>
          <w:sz w:val="20"/>
          <w:szCs w:val="20"/>
        </w:rPr>
        <w:t xml:space="preserve">el caso de las fundaciones, en los últimos 12 años se ha multiplicado por 2,45 el número de beneficiarios finales y directos de sus actividades de interés general. </w:t>
      </w:r>
      <w:r w:rsidRPr="001F64FB">
        <w:rPr>
          <w:rFonts w:ascii="Verdana" w:hAnsi="Verdana"/>
          <w:sz w:val="20"/>
          <w:szCs w:val="20"/>
        </w:rPr>
        <w:t xml:space="preserve">Se estima que el total del sector fundacional en España genera más de 27.000 millones de euros de valor añadido en 2020 (2,4% PIB), y más de </w:t>
      </w:r>
      <w:r>
        <w:rPr>
          <w:rFonts w:ascii="Verdana" w:hAnsi="Verdana"/>
          <w:sz w:val="20"/>
          <w:szCs w:val="20"/>
        </w:rPr>
        <w:t>55</w:t>
      </w:r>
      <w:r w:rsidRPr="001F64FB">
        <w:rPr>
          <w:rFonts w:ascii="Verdana" w:hAnsi="Verdana"/>
          <w:sz w:val="20"/>
          <w:szCs w:val="20"/>
        </w:rPr>
        <w:t xml:space="preserve">0.000 puestos de trabajo, 3,4% del total de puestos </w:t>
      </w:r>
      <w:r w:rsidRPr="001F64FB">
        <w:rPr>
          <w:rFonts w:ascii="Verdana" w:hAnsi="Verdana"/>
          <w:sz w:val="20"/>
          <w:szCs w:val="20"/>
        </w:rPr>
        <w:lastRenderedPageBreak/>
        <w:t>de trabajo de jornada completa de la economía española.</w:t>
      </w:r>
      <w:r>
        <w:rPr>
          <w:rFonts w:ascii="Verdana" w:hAnsi="Verdana"/>
          <w:sz w:val="20"/>
          <w:szCs w:val="20"/>
        </w:rPr>
        <w:t xml:space="preserve"> En </w:t>
      </w:r>
      <w:r w:rsidRPr="00AB2974">
        <w:rPr>
          <w:rFonts w:ascii="Verdana" w:hAnsi="Verdana"/>
          <w:sz w:val="20"/>
          <w:szCs w:val="20"/>
        </w:rPr>
        <w:t>2022 colaboraron con alguna entidad el 39% de la población mayor de 18 años</w:t>
      </w:r>
      <w:r>
        <w:rPr>
          <w:rFonts w:ascii="Verdana" w:hAnsi="Verdana"/>
          <w:sz w:val="20"/>
          <w:szCs w:val="20"/>
        </w:rPr>
        <w:t xml:space="preserve">. </w:t>
      </w:r>
    </w:p>
    <w:p w14:paraId="777AC894" w14:textId="77777777" w:rsidR="00CB22D2" w:rsidRDefault="00342C52" w:rsidP="0041704F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aprobación de esta reforma de la ley es el resultado del trabajo colectivo del Tercer Sector, que lleva años reclamándola, y su interlocución con el Congreso y con el Ministerio de Hacienda y Función Pública. La Asociación Española de Fundaciones (AEF) lideró la campaña </w:t>
      </w:r>
      <w:r w:rsidRPr="00660A35">
        <w:rPr>
          <w:rFonts w:ascii="Verdana" w:hAnsi="Verdana"/>
          <w:b/>
          <w:bCs/>
          <w:color w:val="E6007E"/>
          <w:sz w:val="20"/>
          <w:szCs w:val="20"/>
        </w:rPr>
        <w:t>#MecenazgoAquíAhora</w:t>
      </w:r>
      <w:r w:rsidRPr="00660A35">
        <w:rPr>
          <w:rFonts w:ascii="Verdana" w:hAnsi="Verdana"/>
          <w:color w:val="E6007E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una iniciativa respaldada por </w:t>
      </w:r>
      <w:r w:rsidRPr="000E7379">
        <w:rPr>
          <w:rFonts w:ascii="Verdana" w:hAnsi="Verdana"/>
          <w:sz w:val="20"/>
          <w:szCs w:val="20"/>
        </w:rPr>
        <w:t xml:space="preserve">la Asociación Española de </w:t>
      </w:r>
      <w:proofErr w:type="spellStart"/>
      <w:r w:rsidRPr="000E7379">
        <w:rPr>
          <w:rFonts w:ascii="Verdana" w:hAnsi="Verdana"/>
          <w:sz w:val="20"/>
          <w:szCs w:val="20"/>
        </w:rPr>
        <w:t>Fundraising</w:t>
      </w:r>
      <w:proofErr w:type="spellEnd"/>
      <w:r w:rsidRPr="000E7379">
        <w:rPr>
          <w:rFonts w:ascii="Verdana" w:hAnsi="Verdana"/>
          <w:sz w:val="20"/>
          <w:szCs w:val="20"/>
        </w:rPr>
        <w:t xml:space="preserve"> (</w:t>
      </w:r>
      <w:proofErr w:type="spellStart"/>
      <w:r w:rsidRPr="000E7379">
        <w:rPr>
          <w:rFonts w:ascii="Verdana" w:hAnsi="Verdana"/>
          <w:sz w:val="20"/>
          <w:szCs w:val="20"/>
        </w:rPr>
        <w:t>AEFr</w:t>
      </w:r>
      <w:proofErr w:type="spellEnd"/>
      <w:r w:rsidRPr="000E7379">
        <w:rPr>
          <w:rFonts w:ascii="Verdana" w:hAnsi="Verdana"/>
          <w:sz w:val="20"/>
          <w:szCs w:val="20"/>
        </w:rPr>
        <w:t xml:space="preserve">), Asociaciones y Fundaciones Andaluzas (AFA), la Asociación Valenciana de Fundaciones, el Comité Español de Representantes de Personas con Discapacidad (CERMI), la Coordinadora Catalana de </w:t>
      </w:r>
      <w:proofErr w:type="spellStart"/>
      <w:r w:rsidRPr="000E7379">
        <w:rPr>
          <w:rFonts w:ascii="Verdana" w:hAnsi="Verdana"/>
          <w:sz w:val="20"/>
          <w:szCs w:val="20"/>
        </w:rPr>
        <w:t>Fundacions</w:t>
      </w:r>
      <w:proofErr w:type="spellEnd"/>
      <w:r w:rsidRPr="000E7379">
        <w:rPr>
          <w:rFonts w:ascii="Verdana" w:hAnsi="Verdana"/>
          <w:sz w:val="20"/>
          <w:szCs w:val="20"/>
        </w:rPr>
        <w:t xml:space="preserve"> (CCF), la </w:t>
      </w:r>
      <w:proofErr w:type="spellStart"/>
      <w:r w:rsidRPr="000E7379">
        <w:rPr>
          <w:rFonts w:ascii="Verdana" w:hAnsi="Verdana"/>
          <w:sz w:val="20"/>
          <w:szCs w:val="20"/>
        </w:rPr>
        <w:t>Fundació</w:t>
      </w:r>
      <w:proofErr w:type="spellEnd"/>
      <w:r w:rsidRPr="000E7379">
        <w:rPr>
          <w:rFonts w:ascii="Verdana" w:hAnsi="Verdana"/>
          <w:sz w:val="20"/>
          <w:szCs w:val="20"/>
        </w:rPr>
        <w:t xml:space="preserve"> Catalunya Cultura – Plataforma para el Mecenazgo, la Plataforma del Tercer Sector, la Red de Asociaciones de Investigadores y Científicos en el Exterior (RAICEX), </w:t>
      </w:r>
      <w:proofErr w:type="spellStart"/>
      <w:r w:rsidRPr="000E7379">
        <w:rPr>
          <w:rFonts w:ascii="Verdana" w:hAnsi="Verdana"/>
          <w:sz w:val="20"/>
          <w:szCs w:val="20"/>
        </w:rPr>
        <w:t>Spain</w:t>
      </w:r>
      <w:proofErr w:type="spellEnd"/>
      <w:r w:rsidRPr="000E7379">
        <w:rPr>
          <w:rFonts w:ascii="Verdana" w:hAnsi="Verdana"/>
          <w:sz w:val="20"/>
          <w:szCs w:val="20"/>
        </w:rPr>
        <w:t xml:space="preserve"> </w:t>
      </w:r>
      <w:proofErr w:type="spellStart"/>
      <w:r w:rsidRPr="000E7379">
        <w:rPr>
          <w:rFonts w:ascii="Verdana" w:hAnsi="Verdana"/>
          <w:sz w:val="20"/>
          <w:szCs w:val="20"/>
        </w:rPr>
        <w:t>Nab</w:t>
      </w:r>
      <w:proofErr w:type="spellEnd"/>
      <w:r w:rsidRPr="000E7379">
        <w:rPr>
          <w:rFonts w:ascii="Verdana" w:hAnsi="Verdana"/>
          <w:sz w:val="20"/>
          <w:szCs w:val="20"/>
        </w:rPr>
        <w:t xml:space="preserve"> – Consejo Asesor para la Inversión de Impacto y Fundaciones de Navarra. </w:t>
      </w:r>
    </w:p>
    <w:p w14:paraId="0066DFC3" w14:textId="64CBBF67" w:rsidR="00065710" w:rsidRPr="00660A35" w:rsidRDefault="00065710" w:rsidP="0041704F">
      <w:pPr>
        <w:spacing w:line="360" w:lineRule="auto"/>
        <w:jc w:val="both"/>
        <w:rPr>
          <w:rFonts w:ascii="Verdana" w:hAnsi="Verdana"/>
          <w:b/>
          <w:bCs/>
          <w:color w:val="E6007E"/>
          <w:sz w:val="20"/>
          <w:szCs w:val="20"/>
        </w:rPr>
      </w:pPr>
      <w:r w:rsidRPr="00660A35">
        <w:rPr>
          <w:rFonts w:ascii="Verdana" w:hAnsi="Verdana"/>
          <w:b/>
          <w:bCs/>
          <w:color w:val="E6007E"/>
          <w:sz w:val="20"/>
          <w:szCs w:val="20"/>
        </w:rPr>
        <w:t>Organizaciones que apoyan esta nota de prensa</w:t>
      </w:r>
    </w:p>
    <w:p w14:paraId="5FEE35DC" w14:textId="77777777" w:rsidR="00065710" w:rsidRPr="00065710" w:rsidRDefault="00065710" w:rsidP="00065710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065710">
        <w:rPr>
          <w:rFonts w:ascii="Verdana" w:hAnsi="Verdana"/>
          <w:sz w:val="20"/>
          <w:szCs w:val="20"/>
        </w:rPr>
        <w:t>Asociación Española de Fundaciones (AEF)</w:t>
      </w:r>
    </w:p>
    <w:p w14:paraId="5FF8328C" w14:textId="77777777" w:rsidR="00065710" w:rsidRPr="00065710" w:rsidRDefault="00065710" w:rsidP="00065710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065710">
        <w:rPr>
          <w:rFonts w:ascii="Verdana" w:hAnsi="Verdana"/>
          <w:sz w:val="20"/>
          <w:szCs w:val="20"/>
        </w:rPr>
        <w:t xml:space="preserve">Asociación Española de </w:t>
      </w:r>
      <w:proofErr w:type="spellStart"/>
      <w:r w:rsidRPr="00065710">
        <w:rPr>
          <w:rFonts w:ascii="Verdana" w:hAnsi="Verdana"/>
          <w:sz w:val="20"/>
          <w:szCs w:val="20"/>
        </w:rPr>
        <w:t>Fundraising</w:t>
      </w:r>
      <w:proofErr w:type="spellEnd"/>
      <w:r w:rsidRPr="00065710">
        <w:rPr>
          <w:rFonts w:ascii="Verdana" w:hAnsi="Verdana"/>
          <w:sz w:val="20"/>
          <w:szCs w:val="20"/>
        </w:rPr>
        <w:t xml:space="preserve"> (</w:t>
      </w:r>
      <w:proofErr w:type="spellStart"/>
      <w:r w:rsidRPr="00065710">
        <w:rPr>
          <w:rFonts w:ascii="Verdana" w:hAnsi="Verdana"/>
          <w:sz w:val="20"/>
          <w:szCs w:val="20"/>
        </w:rPr>
        <w:t>AEFr</w:t>
      </w:r>
      <w:proofErr w:type="spellEnd"/>
      <w:r w:rsidRPr="00065710">
        <w:rPr>
          <w:rFonts w:ascii="Verdana" w:hAnsi="Verdana"/>
          <w:sz w:val="20"/>
          <w:szCs w:val="20"/>
        </w:rPr>
        <w:t>)</w:t>
      </w:r>
    </w:p>
    <w:p w14:paraId="00C01FB1" w14:textId="77777777" w:rsidR="00065710" w:rsidRPr="00065710" w:rsidRDefault="00065710" w:rsidP="00065710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065710">
        <w:rPr>
          <w:rFonts w:ascii="Verdana" w:hAnsi="Verdana"/>
          <w:sz w:val="20"/>
          <w:szCs w:val="20"/>
        </w:rPr>
        <w:t>Asociaciones y Fundaciones Andaluzas (AFA)</w:t>
      </w:r>
    </w:p>
    <w:p w14:paraId="35F086B2" w14:textId="77777777" w:rsidR="00065710" w:rsidRPr="00065710" w:rsidRDefault="00065710" w:rsidP="00065710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065710">
        <w:rPr>
          <w:rFonts w:ascii="Verdana" w:hAnsi="Verdana"/>
          <w:sz w:val="20"/>
          <w:szCs w:val="20"/>
        </w:rPr>
        <w:t>Asociación Valenciana de Fundaciones</w:t>
      </w:r>
    </w:p>
    <w:p w14:paraId="51B2CD3A" w14:textId="77777777" w:rsidR="00065710" w:rsidRPr="00065710" w:rsidRDefault="00065710" w:rsidP="00065710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065710">
        <w:rPr>
          <w:rFonts w:ascii="Verdana" w:hAnsi="Verdana"/>
          <w:sz w:val="20"/>
          <w:szCs w:val="20"/>
        </w:rPr>
        <w:t>Comité Español de Representantes de Personas con Discapacidad (CERMI)</w:t>
      </w:r>
    </w:p>
    <w:p w14:paraId="6E03FD9D" w14:textId="77777777" w:rsidR="00065710" w:rsidRPr="00065710" w:rsidRDefault="00065710" w:rsidP="00065710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065710">
        <w:rPr>
          <w:rFonts w:ascii="Verdana" w:hAnsi="Verdana"/>
          <w:sz w:val="20"/>
          <w:szCs w:val="20"/>
        </w:rPr>
        <w:t xml:space="preserve">Coordinadora Catalana de </w:t>
      </w:r>
      <w:proofErr w:type="spellStart"/>
      <w:r w:rsidRPr="00065710">
        <w:rPr>
          <w:rFonts w:ascii="Verdana" w:hAnsi="Verdana"/>
          <w:sz w:val="20"/>
          <w:szCs w:val="20"/>
        </w:rPr>
        <w:t>Fundacions</w:t>
      </w:r>
      <w:proofErr w:type="spellEnd"/>
      <w:r w:rsidRPr="00065710">
        <w:rPr>
          <w:rFonts w:ascii="Verdana" w:hAnsi="Verdana"/>
          <w:sz w:val="20"/>
          <w:szCs w:val="20"/>
        </w:rPr>
        <w:t xml:space="preserve"> (CCF)</w:t>
      </w:r>
    </w:p>
    <w:p w14:paraId="5931A1D6" w14:textId="77777777" w:rsidR="00065710" w:rsidRPr="00065710" w:rsidRDefault="00065710" w:rsidP="00065710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065710">
        <w:rPr>
          <w:rFonts w:ascii="Verdana" w:hAnsi="Verdana"/>
          <w:sz w:val="20"/>
          <w:szCs w:val="20"/>
        </w:rPr>
        <w:t>Fundació Catalunya Cultura – Plataforma para el Mecenazgo</w:t>
      </w:r>
    </w:p>
    <w:p w14:paraId="2F3052DA" w14:textId="77777777" w:rsidR="00065710" w:rsidRPr="00065710" w:rsidRDefault="00065710" w:rsidP="00065710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065710">
        <w:rPr>
          <w:rFonts w:ascii="Verdana" w:hAnsi="Verdana"/>
          <w:sz w:val="20"/>
          <w:szCs w:val="20"/>
        </w:rPr>
        <w:t>Plataforma del Tercer Sector</w:t>
      </w:r>
    </w:p>
    <w:p w14:paraId="28EB163A" w14:textId="77777777" w:rsidR="00065710" w:rsidRPr="00065710" w:rsidRDefault="00065710" w:rsidP="00065710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065710">
        <w:rPr>
          <w:rFonts w:ascii="Verdana" w:hAnsi="Verdana"/>
          <w:sz w:val="20"/>
          <w:szCs w:val="20"/>
        </w:rPr>
        <w:t>Red de Asociaciones de Investigadores y Científicos en el Exterior (RAICEX)</w:t>
      </w:r>
    </w:p>
    <w:p w14:paraId="3D4EF428" w14:textId="77777777" w:rsidR="00065710" w:rsidRPr="00065710" w:rsidRDefault="00065710" w:rsidP="00065710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065710">
        <w:rPr>
          <w:rFonts w:ascii="Verdana" w:hAnsi="Verdana"/>
          <w:sz w:val="20"/>
          <w:szCs w:val="20"/>
        </w:rPr>
        <w:t>Spain</w:t>
      </w:r>
      <w:proofErr w:type="spellEnd"/>
      <w:r w:rsidRPr="00065710">
        <w:rPr>
          <w:rFonts w:ascii="Verdana" w:hAnsi="Verdana"/>
          <w:sz w:val="20"/>
          <w:szCs w:val="20"/>
        </w:rPr>
        <w:t xml:space="preserve"> </w:t>
      </w:r>
      <w:proofErr w:type="spellStart"/>
      <w:r w:rsidRPr="00065710">
        <w:rPr>
          <w:rFonts w:ascii="Verdana" w:hAnsi="Verdana"/>
          <w:sz w:val="20"/>
          <w:szCs w:val="20"/>
        </w:rPr>
        <w:t>Nab</w:t>
      </w:r>
      <w:proofErr w:type="spellEnd"/>
      <w:r w:rsidRPr="00065710">
        <w:rPr>
          <w:rFonts w:ascii="Verdana" w:hAnsi="Verdana"/>
          <w:sz w:val="20"/>
          <w:szCs w:val="20"/>
        </w:rPr>
        <w:t xml:space="preserve"> – Consejo Asesor para la Inversión de Impacto</w:t>
      </w:r>
    </w:p>
    <w:p w14:paraId="703F2730" w14:textId="34690E1B" w:rsidR="00065710" w:rsidRPr="00065710" w:rsidRDefault="00065710" w:rsidP="00065710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065710">
        <w:rPr>
          <w:rFonts w:ascii="Verdana" w:hAnsi="Verdana"/>
          <w:sz w:val="20"/>
          <w:szCs w:val="20"/>
        </w:rPr>
        <w:t>Fundaciones de Navarra</w:t>
      </w:r>
    </w:p>
    <w:p w14:paraId="2B1F82CC" w14:textId="60E87B2B" w:rsidR="00660A35" w:rsidRDefault="00660A35" w:rsidP="00660A35">
      <w:pPr>
        <w:spacing w:after="0" w:line="276" w:lineRule="auto"/>
        <w:ind w:right="-1"/>
        <w:jc w:val="both"/>
        <w:rPr>
          <w:rFonts w:ascii="Verdana" w:hAnsi="Verdana" w:cs="Arial"/>
          <w:b/>
          <w:noProof/>
          <w:color w:val="244061"/>
          <w:spacing w:val="-10"/>
          <w:sz w:val="20"/>
          <w:szCs w:val="20"/>
        </w:rPr>
      </w:pPr>
      <w:r>
        <w:rPr>
          <w:rFonts w:ascii="Verdana" w:hAnsi="Verdana" w:cs="Arial"/>
          <w:b/>
          <w:noProof/>
          <w:color w:val="244061"/>
          <w:spacing w:val="-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CA16C8" wp14:editId="1A6ABE95">
                <wp:simplePos x="0" y="0"/>
                <wp:positionH relativeFrom="column">
                  <wp:posOffset>1403985</wp:posOffset>
                </wp:positionH>
                <wp:positionV relativeFrom="paragraph">
                  <wp:posOffset>27305</wp:posOffset>
                </wp:positionV>
                <wp:extent cx="2453640" cy="0"/>
                <wp:effectExtent l="0" t="0" r="0" b="0"/>
                <wp:wrapNone/>
                <wp:docPr id="1172172630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36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6007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B71EF1" id="Conector recto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55pt,2.15pt" to="303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" strokecolor="#e6007e" strokeweight=".5pt">
                <v:stroke joinstyle="miter"/>
              </v:line>
            </w:pict>
          </mc:Fallback>
        </mc:AlternateContent>
      </w:r>
    </w:p>
    <w:p w14:paraId="2B16BFD0" w14:textId="6277DB28" w:rsidR="00660A35" w:rsidRPr="00660A35" w:rsidRDefault="006D34ED" w:rsidP="00660A35">
      <w:pPr>
        <w:spacing w:after="0" w:line="276" w:lineRule="auto"/>
        <w:ind w:right="-1"/>
        <w:jc w:val="both"/>
        <w:rPr>
          <w:rFonts w:ascii="Verdana" w:hAnsi="Verdana" w:cs="Arial"/>
          <w:b/>
          <w:color w:val="244061"/>
          <w:spacing w:val="-10"/>
          <w:sz w:val="20"/>
          <w:szCs w:val="20"/>
        </w:rPr>
      </w:pPr>
      <w:r w:rsidRPr="00660A35">
        <w:rPr>
          <w:rFonts w:ascii="Verdana" w:hAnsi="Verdana" w:cs="Arial"/>
          <w:b/>
          <w:color w:val="E6007E"/>
          <w:spacing w:val="-10"/>
          <w:sz w:val="20"/>
          <w:szCs w:val="20"/>
        </w:rPr>
        <w:t xml:space="preserve">Sobre la </w:t>
      </w:r>
      <w:proofErr w:type="spellStart"/>
      <w:r w:rsidRPr="00660A35">
        <w:rPr>
          <w:rFonts w:ascii="Verdana" w:hAnsi="Verdana" w:cs="Arial"/>
          <w:b/>
          <w:color w:val="E6007E"/>
          <w:spacing w:val="-10"/>
          <w:sz w:val="20"/>
          <w:szCs w:val="20"/>
        </w:rPr>
        <w:t>AEF</w:t>
      </w:r>
      <w:r w:rsidR="00660A35" w:rsidRPr="00660A35">
        <w:rPr>
          <w:rFonts w:ascii="Verdana" w:hAnsi="Verdana" w:cs="Arial"/>
          <w:b/>
          <w:color w:val="E6007E"/>
          <w:spacing w:val="-10"/>
          <w:sz w:val="20"/>
          <w:szCs w:val="20"/>
        </w:rPr>
        <w:t>r</w:t>
      </w:r>
      <w:proofErr w:type="spellEnd"/>
    </w:p>
    <w:p w14:paraId="22C94D94" w14:textId="77777777" w:rsidR="00660A35" w:rsidRPr="00821852" w:rsidRDefault="00660A35" w:rsidP="00660A35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21852">
        <w:rPr>
          <w:rFonts w:asciiTheme="minorHAnsi" w:hAnsiTheme="minorHAnsi" w:cstheme="minorHAnsi"/>
          <w:color w:val="000000" w:themeColor="text1"/>
          <w:sz w:val="22"/>
          <w:szCs w:val="22"/>
        </w:rPr>
        <w:t>La </w:t>
      </w:r>
      <w:hyperlink r:id="rId12" w:tgtFrame="_blank" w:history="1">
        <w:r w:rsidRPr="00821852">
          <w:rPr>
            <w:rStyle w:val="Hipervnculo"/>
            <w:rFonts w:asciiTheme="minorHAnsi" w:hAnsiTheme="minorHAnsi" w:cstheme="minorHAnsi"/>
            <w:color w:val="000000" w:themeColor="text1"/>
            <w:sz w:val="22"/>
            <w:szCs w:val="22"/>
          </w:rPr>
          <w:t>Asociación Española de </w:t>
        </w:r>
        <w:proofErr w:type="spellStart"/>
      </w:hyperlink>
      <w:hyperlink r:id="rId13" w:tgtFrame="_blank" w:history="1">
        <w:r w:rsidRPr="00821852">
          <w:rPr>
            <w:rStyle w:val="nfasis"/>
            <w:rFonts w:asciiTheme="minorHAnsi" w:hAnsiTheme="minorHAnsi" w:cstheme="minorHAnsi"/>
            <w:color w:val="000000" w:themeColor="text1"/>
            <w:sz w:val="22"/>
            <w:szCs w:val="22"/>
          </w:rPr>
          <w:t>Fundraising</w:t>
        </w:r>
        <w:proofErr w:type="spellEnd"/>
      </w:hyperlink>
      <w:hyperlink r:id="rId14" w:tgtFrame="_blank" w:history="1">
        <w:r w:rsidRPr="00821852">
          <w:rPr>
            <w:rStyle w:val="Hipervnculo"/>
            <w:rFonts w:asciiTheme="minorHAnsi" w:hAnsiTheme="minorHAnsi" w:cstheme="minorHAnsi"/>
            <w:color w:val="000000" w:themeColor="text1"/>
            <w:sz w:val="22"/>
            <w:szCs w:val="22"/>
          </w:rPr>
          <w:t> (</w:t>
        </w:r>
        <w:proofErr w:type="spellStart"/>
        <w:r w:rsidRPr="00821852">
          <w:rPr>
            <w:rStyle w:val="Hipervnculo"/>
            <w:rFonts w:asciiTheme="minorHAnsi" w:hAnsiTheme="minorHAnsi" w:cstheme="minorHAnsi"/>
            <w:color w:val="000000" w:themeColor="text1"/>
            <w:sz w:val="22"/>
            <w:szCs w:val="22"/>
          </w:rPr>
          <w:t>AEFr</w:t>
        </w:r>
        <w:proofErr w:type="spellEnd"/>
        <w:r w:rsidRPr="00821852">
          <w:rPr>
            <w:rStyle w:val="Hipervnculo"/>
            <w:rFonts w:asciiTheme="minorHAnsi" w:hAnsiTheme="minorHAnsi" w:cstheme="minorHAnsi"/>
            <w:color w:val="000000" w:themeColor="text1"/>
            <w:sz w:val="22"/>
            <w:szCs w:val="22"/>
          </w:rPr>
          <w:t>)</w:t>
        </w:r>
      </w:hyperlink>
      <w:r w:rsidRPr="00821852">
        <w:rPr>
          <w:rFonts w:asciiTheme="minorHAnsi" w:hAnsiTheme="minorHAnsi" w:cstheme="minorHAnsi"/>
          <w:color w:val="000000" w:themeColor="text1"/>
          <w:sz w:val="22"/>
          <w:szCs w:val="22"/>
        </w:rPr>
        <w:t> tiene por objeto “crear una sociedad española más filantrópica gracias a un </w:t>
      </w:r>
      <w:proofErr w:type="spellStart"/>
      <w:r w:rsidRPr="00821852">
        <w:rPr>
          <w:rStyle w:val="nfasis"/>
          <w:rFonts w:asciiTheme="minorHAnsi" w:hAnsiTheme="minorHAnsi" w:cstheme="minorHAnsi"/>
          <w:color w:val="000000" w:themeColor="text1"/>
          <w:sz w:val="22"/>
          <w:szCs w:val="22"/>
        </w:rPr>
        <w:t>fundraising</w:t>
      </w:r>
      <w:proofErr w:type="spellEnd"/>
      <w:r w:rsidRPr="00821852">
        <w:rPr>
          <w:rFonts w:asciiTheme="minorHAnsi" w:hAnsiTheme="minorHAnsi" w:cstheme="minorHAnsi"/>
          <w:color w:val="000000" w:themeColor="text1"/>
          <w:sz w:val="22"/>
          <w:szCs w:val="22"/>
        </w:rPr>
        <w:t> ético y profesional basado en buenas prácticas, así como contribuir al éxito del sector de la captación de fondos mediante su profesionalización”.</w:t>
      </w:r>
    </w:p>
    <w:p w14:paraId="1FB1F764" w14:textId="77777777" w:rsidR="00660A35" w:rsidRPr="00821852" w:rsidRDefault="00660A35" w:rsidP="00660A35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21852">
        <w:rPr>
          <w:rFonts w:asciiTheme="minorHAnsi" w:hAnsiTheme="minorHAnsi" w:cstheme="minorHAnsi"/>
          <w:color w:val="000000" w:themeColor="text1"/>
          <w:sz w:val="22"/>
          <w:szCs w:val="22"/>
        </w:rPr>
        <w:t>Para ello desarrolla actividades como formación, información y asesoramiento a las Entidades No Lucrativas (ENL) y a los profesionales, desarrollo de estándares de calidad y criterios éticos en la práctica de captación de fondos o promoción de la investigación, el intercambio y la evaluación de experiencias entre profesionales y organizaciones, entre otros.</w:t>
      </w:r>
    </w:p>
    <w:p w14:paraId="096C7BE4" w14:textId="3638DA72" w:rsidR="00660A35" w:rsidRPr="00821852" w:rsidRDefault="00660A35" w:rsidP="00660A35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21852">
        <w:rPr>
          <w:rFonts w:asciiTheme="minorHAnsi" w:hAnsiTheme="minorHAnsi" w:cstheme="minorHAnsi"/>
          <w:color w:val="000000" w:themeColor="text1"/>
          <w:sz w:val="22"/>
          <w:szCs w:val="22"/>
        </w:rPr>
        <w:t>En la actualidad 12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Pr="008218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organizaciones forman parte de la </w:t>
      </w:r>
      <w:proofErr w:type="spellStart"/>
      <w:r w:rsidRPr="00821852">
        <w:rPr>
          <w:rFonts w:asciiTheme="minorHAnsi" w:hAnsiTheme="minorHAnsi" w:cstheme="minorHAnsi"/>
          <w:color w:val="000000" w:themeColor="text1"/>
          <w:sz w:val="22"/>
          <w:szCs w:val="22"/>
        </w:rPr>
        <w:t>AEFr</w:t>
      </w:r>
      <w:proofErr w:type="spellEnd"/>
      <w:r w:rsidRPr="008218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entre ellas: Cruz Roja, Cáritas, Fundación Pasqual Maragall, Greenpeace, Amnistía Internacional, Médicos Sin Fronteras, </w:t>
      </w:r>
      <w:r w:rsidRPr="00821852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Unicef, Amigos de los Mayores, Asociación Española Contra el Cáncer, </w:t>
      </w:r>
      <w:proofErr w:type="spellStart"/>
      <w:r w:rsidRPr="00821852">
        <w:rPr>
          <w:rFonts w:asciiTheme="minorHAnsi" w:hAnsiTheme="minorHAnsi" w:cstheme="minorHAnsi"/>
          <w:color w:val="000000" w:themeColor="text1"/>
          <w:sz w:val="22"/>
          <w:szCs w:val="22"/>
        </w:rPr>
        <w:t>Fundació</w:t>
      </w:r>
      <w:proofErr w:type="spellEnd"/>
      <w:r w:rsidRPr="008218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Sant Joan de </w:t>
      </w:r>
      <w:proofErr w:type="spellStart"/>
      <w:r w:rsidRPr="00821852">
        <w:rPr>
          <w:rFonts w:asciiTheme="minorHAnsi" w:hAnsiTheme="minorHAnsi" w:cstheme="minorHAnsi"/>
          <w:color w:val="000000" w:themeColor="text1"/>
          <w:sz w:val="22"/>
          <w:szCs w:val="22"/>
        </w:rPr>
        <w:t>Déu</w:t>
      </w:r>
      <w:proofErr w:type="spellEnd"/>
      <w:r w:rsidRPr="008218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Fundación Josep Carreras, Manos Unidas, </w:t>
      </w:r>
      <w:proofErr w:type="spellStart"/>
      <w:r w:rsidRPr="00821852">
        <w:rPr>
          <w:rFonts w:asciiTheme="minorHAnsi" w:hAnsiTheme="minorHAnsi" w:cstheme="minorHAnsi"/>
          <w:color w:val="000000" w:themeColor="text1"/>
          <w:sz w:val="22"/>
          <w:szCs w:val="22"/>
        </w:rPr>
        <w:t>Anesvad</w:t>
      </w:r>
      <w:proofErr w:type="spellEnd"/>
      <w:r w:rsidRPr="00821852">
        <w:rPr>
          <w:rFonts w:asciiTheme="minorHAnsi" w:hAnsiTheme="minorHAnsi" w:cstheme="minorHAnsi"/>
          <w:color w:val="000000" w:themeColor="text1"/>
          <w:sz w:val="22"/>
          <w:szCs w:val="22"/>
        </w:rPr>
        <w:t>, Acción contra el Hambre, Oxfam Intermón o Educo.</w:t>
      </w:r>
    </w:p>
    <w:p w14:paraId="21D99506" w14:textId="77777777" w:rsidR="00660A35" w:rsidRPr="004278B6" w:rsidRDefault="00660A35" w:rsidP="00660A35">
      <w:pPr>
        <w:spacing w:line="276" w:lineRule="auto"/>
        <w:jc w:val="both"/>
        <w:rPr>
          <w:rFonts w:ascii="Verdana" w:hAnsi="Verdana" w:cs="Arial"/>
          <w:bCs/>
          <w:spacing w:val="-10"/>
          <w:sz w:val="20"/>
          <w:szCs w:val="20"/>
        </w:rPr>
      </w:pPr>
    </w:p>
    <w:p w14:paraId="3336CDB0" w14:textId="77777777" w:rsidR="00660A35" w:rsidRPr="005B5360" w:rsidRDefault="00660A35" w:rsidP="00660A35">
      <w:pPr>
        <w:spacing w:after="0" w:line="276" w:lineRule="auto"/>
        <w:ind w:right="340"/>
        <w:jc w:val="both"/>
        <w:rPr>
          <w:rFonts w:ascii="Verdana" w:hAnsi="Verdana" w:cs="Arial"/>
          <w:bCs/>
          <w:spacing w:val="-10"/>
          <w:sz w:val="20"/>
          <w:szCs w:val="20"/>
        </w:rPr>
      </w:pPr>
    </w:p>
    <w:p w14:paraId="587DAFDA" w14:textId="77777777" w:rsidR="00660A35" w:rsidRPr="005B5360" w:rsidRDefault="00660A35" w:rsidP="00660A35">
      <w:pPr>
        <w:pStyle w:val="Encabezado"/>
        <w:pBdr>
          <w:top w:val="single" w:sz="12" w:space="1" w:color="1F3864" w:themeColor="accent1" w:themeShade="80"/>
          <w:left w:val="single" w:sz="12" w:space="4" w:color="1F3864" w:themeColor="accent1" w:themeShade="80"/>
          <w:bottom w:val="single" w:sz="12" w:space="1" w:color="1F3864" w:themeColor="accent1" w:themeShade="80"/>
          <w:right w:val="single" w:sz="12" w:space="24" w:color="1F3864" w:themeColor="accent1" w:themeShade="80"/>
        </w:pBdr>
        <w:tabs>
          <w:tab w:val="left" w:pos="426"/>
        </w:tabs>
        <w:spacing w:after="120" w:line="276" w:lineRule="auto"/>
        <w:ind w:left="284" w:right="340"/>
        <w:rPr>
          <w:rFonts w:ascii="Verdana" w:hAnsi="Verdana" w:cs="Arial"/>
          <w:b/>
          <w:spacing w:val="-10"/>
          <w:sz w:val="20"/>
          <w:szCs w:val="20"/>
        </w:rPr>
      </w:pPr>
      <w:r w:rsidRPr="005B5360">
        <w:rPr>
          <w:rFonts w:ascii="Verdana" w:hAnsi="Verdana" w:cs="Arial"/>
          <w:b/>
          <w:spacing w:val="-20"/>
          <w:sz w:val="20"/>
          <w:szCs w:val="20"/>
        </w:rPr>
        <w:t xml:space="preserve">Contacto </w:t>
      </w:r>
      <w:r w:rsidRPr="005B5360">
        <w:rPr>
          <w:rFonts w:ascii="Verdana" w:hAnsi="Verdana" w:cs="Arial"/>
          <w:b/>
          <w:spacing w:val="-10"/>
          <w:sz w:val="20"/>
          <w:szCs w:val="20"/>
        </w:rPr>
        <w:t xml:space="preserve"> </w:t>
      </w:r>
    </w:p>
    <w:p w14:paraId="68D03302" w14:textId="77777777" w:rsidR="00660A35" w:rsidRPr="005B5360" w:rsidRDefault="00660A35" w:rsidP="00660A35">
      <w:pPr>
        <w:pStyle w:val="Encabezado"/>
        <w:pBdr>
          <w:top w:val="single" w:sz="12" w:space="1" w:color="1F3864" w:themeColor="accent1" w:themeShade="80"/>
          <w:left w:val="single" w:sz="12" w:space="4" w:color="1F3864" w:themeColor="accent1" w:themeShade="80"/>
          <w:bottom w:val="single" w:sz="12" w:space="1" w:color="1F3864" w:themeColor="accent1" w:themeShade="80"/>
          <w:right w:val="single" w:sz="12" w:space="24" w:color="1F3864" w:themeColor="accent1" w:themeShade="80"/>
        </w:pBdr>
        <w:tabs>
          <w:tab w:val="left" w:pos="426"/>
        </w:tabs>
        <w:spacing w:after="120" w:line="276" w:lineRule="auto"/>
        <w:ind w:left="284" w:right="340"/>
        <w:rPr>
          <w:rFonts w:ascii="Verdana" w:hAnsi="Verdana" w:cs="Arial"/>
          <w:spacing w:val="-10"/>
          <w:sz w:val="20"/>
          <w:szCs w:val="20"/>
          <w:u w:val="single"/>
        </w:rPr>
      </w:pPr>
      <w:proofErr w:type="spellStart"/>
      <w:r w:rsidRPr="005B5360">
        <w:rPr>
          <w:rFonts w:ascii="Verdana" w:hAnsi="Verdana" w:cs="Arial"/>
          <w:spacing w:val="-10"/>
          <w:sz w:val="20"/>
          <w:szCs w:val="20"/>
          <w:u w:val="single"/>
        </w:rPr>
        <w:t>AEF</w:t>
      </w:r>
      <w:r>
        <w:rPr>
          <w:rFonts w:ascii="Verdana" w:hAnsi="Verdana" w:cs="Arial"/>
          <w:spacing w:val="-10"/>
          <w:sz w:val="20"/>
          <w:szCs w:val="20"/>
          <w:u w:val="single"/>
        </w:rPr>
        <w:t>r</w:t>
      </w:r>
      <w:proofErr w:type="spellEnd"/>
    </w:p>
    <w:p w14:paraId="1641B463" w14:textId="77777777" w:rsidR="00660A35" w:rsidRPr="005B5360" w:rsidRDefault="00660A35" w:rsidP="00660A35">
      <w:pPr>
        <w:pStyle w:val="Encabezado"/>
        <w:pBdr>
          <w:top w:val="single" w:sz="12" w:space="1" w:color="1F3864" w:themeColor="accent1" w:themeShade="80"/>
          <w:left w:val="single" w:sz="12" w:space="4" w:color="1F3864" w:themeColor="accent1" w:themeShade="80"/>
          <w:bottom w:val="single" w:sz="12" w:space="1" w:color="1F3864" w:themeColor="accent1" w:themeShade="80"/>
          <w:right w:val="single" w:sz="12" w:space="24" w:color="1F3864" w:themeColor="accent1" w:themeShade="80"/>
        </w:pBdr>
        <w:tabs>
          <w:tab w:val="left" w:pos="426"/>
        </w:tabs>
        <w:spacing w:after="120" w:line="276" w:lineRule="auto"/>
        <w:ind w:left="284" w:right="340"/>
        <w:rPr>
          <w:rFonts w:ascii="Verdana" w:hAnsi="Verdana" w:cs="Arial"/>
          <w:spacing w:val="-10"/>
          <w:sz w:val="20"/>
          <w:szCs w:val="20"/>
        </w:rPr>
      </w:pPr>
      <w:r>
        <w:rPr>
          <w:rFonts w:ascii="Verdana" w:hAnsi="Verdana" w:cs="Arial"/>
          <w:spacing w:val="-10"/>
          <w:sz w:val="20"/>
          <w:szCs w:val="20"/>
        </w:rPr>
        <w:t xml:space="preserve">Fernando Morón </w:t>
      </w:r>
      <w:proofErr w:type="gramStart"/>
      <w:r>
        <w:rPr>
          <w:rFonts w:ascii="Verdana" w:hAnsi="Verdana" w:cs="Arial"/>
          <w:spacing w:val="-10"/>
          <w:sz w:val="20"/>
          <w:szCs w:val="20"/>
        </w:rPr>
        <w:t xml:space="preserve">Limón </w:t>
      </w:r>
      <w:r w:rsidRPr="005B5360">
        <w:rPr>
          <w:rFonts w:ascii="Verdana" w:hAnsi="Verdana" w:cs="Arial"/>
          <w:spacing w:val="-10"/>
          <w:sz w:val="20"/>
          <w:szCs w:val="20"/>
        </w:rPr>
        <w:t xml:space="preserve"> </w:t>
      </w:r>
      <w:r>
        <w:rPr>
          <w:rFonts w:ascii="Verdana" w:hAnsi="Verdana" w:cs="Arial"/>
          <w:spacing w:val="-10"/>
          <w:sz w:val="20"/>
          <w:szCs w:val="20"/>
        </w:rPr>
        <w:t>-</w:t>
      </w:r>
      <w:proofErr w:type="gramEnd"/>
      <w:r>
        <w:rPr>
          <w:rFonts w:ascii="Verdana" w:hAnsi="Verdana" w:cs="Arial"/>
          <w:spacing w:val="-10"/>
          <w:sz w:val="20"/>
          <w:szCs w:val="20"/>
        </w:rPr>
        <w:t xml:space="preserve"> fmoron@aefundraising.org / 646 02 45 13</w:t>
      </w:r>
    </w:p>
    <w:p w14:paraId="71B1F994" w14:textId="77777777" w:rsidR="00660A35" w:rsidRPr="005B5360" w:rsidRDefault="00660A35" w:rsidP="00660A35">
      <w:pPr>
        <w:spacing w:line="276" w:lineRule="auto"/>
        <w:rPr>
          <w:rFonts w:ascii="Verdana" w:hAnsi="Verdana"/>
          <w:sz w:val="20"/>
          <w:szCs w:val="20"/>
        </w:rPr>
      </w:pPr>
      <w:r w:rsidRPr="005B5360">
        <w:rPr>
          <w:rFonts w:ascii="Verdana" w:hAnsi="Verdana"/>
          <w:sz w:val="20"/>
          <w:szCs w:val="20"/>
        </w:rPr>
        <w:t xml:space="preserve"> </w:t>
      </w:r>
    </w:p>
    <w:p w14:paraId="3CDF64FF" w14:textId="4919AE95" w:rsidR="00DD07DB" w:rsidRPr="005B5360" w:rsidRDefault="00DD07DB" w:rsidP="00B7018F">
      <w:pPr>
        <w:spacing w:line="276" w:lineRule="auto"/>
        <w:rPr>
          <w:rFonts w:ascii="Verdana" w:hAnsi="Verdana"/>
          <w:sz w:val="20"/>
          <w:szCs w:val="20"/>
        </w:rPr>
      </w:pPr>
      <w:r w:rsidRPr="005B5360">
        <w:rPr>
          <w:rFonts w:ascii="Verdana" w:hAnsi="Verdana"/>
          <w:sz w:val="20"/>
          <w:szCs w:val="20"/>
        </w:rPr>
        <w:t xml:space="preserve"> </w:t>
      </w:r>
    </w:p>
    <w:sectPr w:rsidR="00DD07DB" w:rsidRPr="005B5360" w:rsidSect="00660A35">
      <w:headerReference w:type="default" r:id="rId15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4F6DF" w14:textId="77777777" w:rsidR="003733A6" w:rsidRDefault="003733A6">
      <w:pPr>
        <w:spacing w:after="0" w:line="240" w:lineRule="auto"/>
      </w:pPr>
      <w:r>
        <w:separator/>
      </w:r>
    </w:p>
  </w:endnote>
  <w:endnote w:type="continuationSeparator" w:id="0">
    <w:p w14:paraId="27A78CC8" w14:textId="77777777" w:rsidR="003733A6" w:rsidRDefault="00373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0AE16" w14:textId="77777777" w:rsidR="003733A6" w:rsidRDefault="003733A6">
      <w:pPr>
        <w:spacing w:after="0" w:line="240" w:lineRule="auto"/>
      </w:pPr>
      <w:r>
        <w:separator/>
      </w:r>
    </w:p>
  </w:footnote>
  <w:footnote w:type="continuationSeparator" w:id="0">
    <w:p w14:paraId="75BD6FBE" w14:textId="77777777" w:rsidR="003733A6" w:rsidRDefault="00373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5B8F" w14:textId="06EE92A2" w:rsidR="00551194" w:rsidRDefault="00660A35" w:rsidP="00551194">
    <w:pPr>
      <w:pStyle w:val="Encabezado"/>
      <w:pBdr>
        <w:bottom w:val="single" w:sz="12" w:space="0" w:color="1F3864" w:themeColor="accent1" w:themeShade="80"/>
      </w:pBdr>
      <w:rPr>
        <w:rFonts w:ascii="Verdana" w:hAnsi="Verdana"/>
        <w:b/>
        <w:sz w:val="28"/>
        <w:szCs w:val="28"/>
      </w:rPr>
    </w:pPr>
    <w:r>
      <w:rPr>
        <w:rFonts w:ascii="Verdana" w:hAnsi="Verdana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097BFD5D" wp14:editId="18859D53">
          <wp:simplePos x="0" y="0"/>
          <wp:positionH relativeFrom="column">
            <wp:posOffset>4612005</wp:posOffset>
          </wp:positionH>
          <wp:positionV relativeFrom="paragraph">
            <wp:posOffset>-244475</wp:posOffset>
          </wp:positionV>
          <wp:extent cx="1577340" cy="679607"/>
          <wp:effectExtent l="0" t="0" r="0" b="0"/>
          <wp:wrapNone/>
          <wp:docPr id="46851041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8510419" name="Imagen 4685104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340" cy="679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4F7343" w14:textId="77777777" w:rsidR="00551194" w:rsidRPr="00660A35" w:rsidRDefault="00551194" w:rsidP="00551194">
    <w:pPr>
      <w:pStyle w:val="Encabezado"/>
      <w:pBdr>
        <w:bottom w:val="single" w:sz="12" w:space="0" w:color="1F3864" w:themeColor="accent1" w:themeShade="80"/>
      </w:pBdr>
      <w:rPr>
        <w:rFonts w:ascii="Verdana" w:hAnsi="Verdana"/>
        <w:b/>
        <w:color w:val="E6007E"/>
        <w:sz w:val="16"/>
        <w:szCs w:val="16"/>
      </w:rPr>
    </w:pPr>
    <w:r w:rsidRPr="00660A35">
      <w:rPr>
        <w:rFonts w:ascii="Verdana" w:hAnsi="Verdana"/>
        <w:b/>
        <w:color w:val="E6007E"/>
        <w:sz w:val="28"/>
        <w:szCs w:val="28"/>
      </w:rPr>
      <w:t xml:space="preserve">Nota de prensa </w:t>
    </w:r>
  </w:p>
  <w:p w14:paraId="5D05A3FC" w14:textId="77777777" w:rsidR="00551194" w:rsidRPr="00FD41BB" w:rsidRDefault="00551194" w:rsidP="00551194">
    <w:pPr>
      <w:pStyle w:val="Encabezado"/>
      <w:pBdr>
        <w:bottom w:val="single" w:sz="12" w:space="0" w:color="1F3864" w:themeColor="accent1" w:themeShade="80"/>
      </w:pBdr>
      <w:rPr>
        <w:rFonts w:ascii="Verdana" w:hAnsi="Verdana"/>
        <w:b/>
        <w:sz w:val="16"/>
        <w:szCs w:val="16"/>
      </w:rPr>
    </w:pPr>
    <w:r w:rsidRPr="00FD41BB">
      <w:rPr>
        <w:rFonts w:ascii="Verdana" w:hAnsi="Verdana"/>
        <w:b/>
        <w:sz w:val="16"/>
        <w:szCs w:val="16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37A1"/>
    <w:multiLevelType w:val="multilevel"/>
    <w:tmpl w:val="AC94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F2908"/>
    <w:multiLevelType w:val="multilevel"/>
    <w:tmpl w:val="9A22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55DD5"/>
    <w:multiLevelType w:val="hybridMultilevel"/>
    <w:tmpl w:val="F4B2E2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089D"/>
    <w:multiLevelType w:val="hybridMultilevel"/>
    <w:tmpl w:val="44B665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53416"/>
    <w:multiLevelType w:val="multilevel"/>
    <w:tmpl w:val="D2A47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0F3716"/>
    <w:multiLevelType w:val="hybridMultilevel"/>
    <w:tmpl w:val="F880F4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11CAB"/>
    <w:multiLevelType w:val="hybridMultilevel"/>
    <w:tmpl w:val="ADD2CE6E"/>
    <w:lvl w:ilvl="0" w:tplc="0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F973D5"/>
    <w:multiLevelType w:val="multilevel"/>
    <w:tmpl w:val="E94E0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5F1EB5"/>
    <w:multiLevelType w:val="multilevel"/>
    <w:tmpl w:val="597C5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113C06"/>
    <w:multiLevelType w:val="hybridMultilevel"/>
    <w:tmpl w:val="CD8AB7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94AE8"/>
    <w:multiLevelType w:val="hybridMultilevel"/>
    <w:tmpl w:val="F13067F4"/>
    <w:lvl w:ilvl="0" w:tplc="040A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1" w15:restartNumberingAfterBreak="0">
    <w:nsid w:val="428E7D86"/>
    <w:multiLevelType w:val="multilevel"/>
    <w:tmpl w:val="8900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971E78"/>
    <w:multiLevelType w:val="multilevel"/>
    <w:tmpl w:val="22A8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8BE7817"/>
    <w:multiLevelType w:val="hybridMultilevel"/>
    <w:tmpl w:val="D5129B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603BB"/>
    <w:multiLevelType w:val="hybridMultilevel"/>
    <w:tmpl w:val="833E49F0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EB7D61"/>
    <w:multiLevelType w:val="multilevel"/>
    <w:tmpl w:val="8F1C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B571D6"/>
    <w:multiLevelType w:val="hybridMultilevel"/>
    <w:tmpl w:val="904E7CB0"/>
    <w:lvl w:ilvl="0" w:tplc="0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D374DA"/>
    <w:multiLevelType w:val="hybridMultilevel"/>
    <w:tmpl w:val="2CB8007E"/>
    <w:lvl w:ilvl="0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E6C0E07"/>
    <w:multiLevelType w:val="multilevel"/>
    <w:tmpl w:val="C666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7E7A9C"/>
    <w:multiLevelType w:val="multilevel"/>
    <w:tmpl w:val="EC54D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FE0A0C"/>
    <w:multiLevelType w:val="multilevel"/>
    <w:tmpl w:val="46F2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AA10E6"/>
    <w:multiLevelType w:val="hybridMultilevel"/>
    <w:tmpl w:val="F1FE456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643C0"/>
    <w:multiLevelType w:val="hybridMultilevel"/>
    <w:tmpl w:val="D6FE8970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F1025"/>
    <w:multiLevelType w:val="hybridMultilevel"/>
    <w:tmpl w:val="EC3E8BDE"/>
    <w:lvl w:ilvl="0" w:tplc="8898CE88">
      <w:numFmt w:val="bullet"/>
      <w:lvlText w:val=""/>
      <w:lvlJc w:val="left"/>
      <w:pPr>
        <w:ind w:left="735" w:hanging="375"/>
      </w:pPr>
      <w:rPr>
        <w:rFonts w:ascii="Symbol" w:eastAsiaTheme="minorHAnsi" w:hAnsi="Symbol" w:cstheme="minorBidi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9011C"/>
    <w:multiLevelType w:val="multilevel"/>
    <w:tmpl w:val="A066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FC71E1"/>
    <w:multiLevelType w:val="hybridMultilevel"/>
    <w:tmpl w:val="57A8232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9F63EE"/>
    <w:multiLevelType w:val="hybridMultilevel"/>
    <w:tmpl w:val="4B7092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936477">
    <w:abstractNumId w:val="23"/>
  </w:num>
  <w:num w:numId="2" w16cid:durableId="1192955833">
    <w:abstractNumId w:val="10"/>
  </w:num>
  <w:num w:numId="3" w16cid:durableId="245261112">
    <w:abstractNumId w:val="0"/>
  </w:num>
  <w:num w:numId="4" w16cid:durableId="1372925804">
    <w:abstractNumId w:val="20"/>
  </w:num>
  <w:num w:numId="5" w16cid:durableId="1731269545">
    <w:abstractNumId w:val="25"/>
  </w:num>
  <w:num w:numId="6" w16cid:durableId="557018108">
    <w:abstractNumId w:val="13"/>
  </w:num>
  <w:num w:numId="7" w16cid:durableId="1000504639">
    <w:abstractNumId w:val="24"/>
  </w:num>
  <w:num w:numId="8" w16cid:durableId="1555695743">
    <w:abstractNumId w:val="2"/>
  </w:num>
  <w:num w:numId="9" w16cid:durableId="2059010413">
    <w:abstractNumId w:val="18"/>
  </w:num>
  <w:num w:numId="10" w16cid:durableId="871497734">
    <w:abstractNumId w:val="11"/>
  </w:num>
  <w:num w:numId="11" w16cid:durableId="1075395961">
    <w:abstractNumId w:val="7"/>
  </w:num>
  <w:num w:numId="12" w16cid:durableId="173374826">
    <w:abstractNumId w:val="4"/>
  </w:num>
  <w:num w:numId="13" w16cid:durableId="1089696931">
    <w:abstractNumId w:val="22"/>
  </w:num>
  <w:num w:numId="14" w16cid:durableId="1068964494">
    <w:abstractNumId w:val="5"/>
  </w:num>
  <w:num w:numId="15" w16cid:durableId="440496453">
    <w:abstractNumId w:val="14"/>
  </w:num>
  <w:num w:numId="16" w16cid:durableId="824202858">
    <w:abstractNumId w:val="6"/>
  </w:num>
  <w:num w:numId="17" w16cid:durableId="1117070084">
    <w:abstractNumId w:val="17"/>
  </w:num>
  <w:num w:numId="18" w16cid:durableId="298806196">
    <w:abstractNumId w:val="15"/>
  </w:num>
  <w:num w:numId="19" w16cid:durableId="1638339949">
    <w:abstractNumId w:val="9"/>
  </w:num>
  <w:num w:numId="20" w16cid:durableId="903567496">
    <w:abstractNumId w:val="1"/>
  </w:num>
  <w:num w:numId="21" w16cid:durableId="848062865">
    <w:abstractNumId w:val="16"/>
  </w:num>
  <w:num w:numId="22" w16cid:durableId="177551693">
    <w:abstractNumId w:val="3"/>
  </w:num>
  <w:num w:numId="23" w16cid:durableId="874541120">
    <w:abstractNumId w:val="12"/>
  </w:num>
  <w:num w:numId="24" w16cid:durableId="1793985866">
    <w:abstractNumId w:val="21"/>
  </w:num>
  <w:num w:numId="25" w16cid:durableId="1757089699">
    <w:abstractNumId w:val="26"/>
  </w:num>
  <w:num w:numId="26" w16cid:durableId="343361920">
    <w:abstractNumId w:val="8"/>
  </w:num>
  <w:num w:numId="27" w16cid:durableId="4906804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4ED"/>
    <w:rsid w:val="000001FA"/>
    <w:rsid w:val="00000BC2"/>
    <w:rsid w:val="000018ED"/>
    <w:rsid w:val="000072D6"/>
    <w:rsid w:val="00010620"/>
    <w:rsid w:val="00014057"/>
    <w:rsid w:val="00016BF4"/>
    <w:rsid w:val="00017FD5"/>
    <w:rsid w:val="00024264"/>
    <w:rsid w:val="00041848"/>
    <w:rsid w:val="000541DB"/>
    <w:rsid w:val="00060D05"/>
    <w:rsid w:val="00065710"/>
    <w:rsid w:val="00072E36"/>
    <w:rsid w:val="00085C9A"/>
    <w:rsid w:val="00087EDA"/>
    <w:rsid w:val="000976A9"/>
    <w:rsid w:val="00097818"/>
    <w:rsid w:val="000A122D"/>
    <w:rsid w:val="000A4D89"/>
    <w:rsid w:val="000B34D4"/>
    <w:rsid w:val="000B6363"/>
    <w:rsid w:val="000C0C77"/>
    <w:rsid w:val="000C3260"/>
    <w:rsid w:val="000E021A"/>
    <w:rsid w:val="000E06A2"/>
    <w:rsid w:val="000E1624"/>
    <w:rsid w:val="000E5911"/>
    <w:rsid w:val="000E705D"/>
    <w:rsid w:val="000E7379"/>
    <w:rsid w:val="000F2412"/>
    <w:rsid w:val="001038EC"/>
    <w:rsid w:val="00106874"/>
    <w:rsid w:val="0011561D"/>
    <w:rsid w:val="001216BD"/>
    <w:rsid w:val="00127447"/>
    <w:rsid w:val="00155EC5"/>
    <w:rsid w:val="00157F7F"/>
    <w:rsid w:val="00192904"/>
    <w:rsid w:val="0019611A"/>
    <w:rsid w:val="00197826"/>
    <w:rsid w:val="001A4B72"/>
    <w:rsid w:val="001C0577"/>
    <w:rsid w:val="001D6B46"/>
    <w:rsid w:val="001E1DAC"/>
    <w:rsid w:val="001E3D3E"/>
    <w:rsid w:val="001E6D37"/>
    <w:rsid w:val="001F214A"/>
    <w:rsid w:val="001F663F"/>
    <w:rsid w:val="0021794D"/>
    <w:rsid w:val="002232DB"/>
    <w:rsid w:val="00226990"/>
    <w:rsid w:val="00236197"/>
    <w:rsid w:val="00237A92"/>
    <w:rsid w:val="002449C0"/>
    <w:rsid w:val="00266957"/>
    <w:rsid w:val="0027193F"/>
    <w:rsid w:val="00274E8C"/>
    <w:rsid w:val="002825E6"/>
    <w:rsid w:val="00283327"/>
    <w:rsid w:val="00291FF9"/>
    <w:rsid w:val="002952D0"/>
    <w:rsid w:val="002C4738"/>
    <w:rsid w:val="002D1622"/>
    <w:rsid w:val="002D77FA"/>
    <w:rsid w:val="002E4621"/>
    <w:rsid w:val="002F73C8"/>
    <w:rsid w:val="00301CB4"/>
    <w:rsid w:val="003035B9"/>
    <w:rsid w:val="0031058E"/>
    <w:rsid w:val="00322E03"/>
    <w:rsid w:val="00336773"/>
    <w:rsid w:val="00342C52"/>
    <w:rsid w:val="003455FD"/>
    <w:rsid w:val="00347AA9"/>
    <w:rsid w:val="00353989"/>
    <w:rsid w:val="003558DF"/>
    <w:rsid w:val="003733A6"/>
    <w:rsid w:val="00375A6B"/>
    <w:rsid w:val="0038293D"/>
    <w:rsid w:val="003A1874"/>
    <w:rsid w:val="003A56D3"/>
    <w:rsid w:val="003B4914"/>
    <w:rsid w:val="003C4210"/>
    <w:rsid w:val="003D1470"/>
    <w:rsid w:val="003D4F0B"/>
    <w:rsid w:val="003E7FF1"/>
    <w:rsid w:val="0041704F"/>
    <w:rsid w:val="004278B6"/>
    <w:rsid w:val="00455743"/>
    <w:rsid w:val="0047133A"/>
    <w:rsid w:val="00480552"/>
    <w:rsid w:val="00495165"/>
    <w:rsid w:val="004964E2"/>
    <w:rsid w:val="004B0B81"/>
    <w:rsid w:val="004C5EA5"/>
    <w:rsid w:val="004E781E"/>
    <w:rsid w:val="004E79CB"/>
    <w:rsid w:val="004F00BA"/>
    <w:rsid w:val="004F66EF"/>
    <w:rsid w:val="00504956"/>
    <w:rsid w:val="00522069"/>
    <w:rsid w:val="0055043A"/>
    <w:rsid w:val="00551194"/>
    <w:rsid w:val="005558D9"/>
    <w:rsid w:val="0057235B"/>
    <w:rsid w:val="005A4E72"/>
    <w:rsid w:val="005A684A"/>
    <w:rsid w:val="005B5360"/>
    <w:rsid w:val="005C61B3"/>
    <w:rsid w:val="005D6823"/>
    <w:rsid w:val="005F08AD"/>
    <w:rsid w:val="00604828"/>
    <w:rsid w:val="00610933"/>
    <w:rsid w:val="00625E02"/>
    <w:rsid w:val="00633C9D"/>
    <w:rsid w:val="00660A35"/>
    <w:rsid w:val="00662337"/>
    <w:rsid w:val="006659A5"/>
    <w:rsid w:val="00666994"/>
    <w:rsid w:val="00672EDE"/>
    <w:rsid w:val="006A4074"/>
    <w:rsid w:val="006B46AD"/>
    <w:rsid w:val="006C50E4"/>
    <w:rsid w:val="006C7790"/>
    <w:rsid w:val="006D2F05"/>
    <w:rsid w:val="006D34ED"/>
    <w:rsid w:val="006E3073"/>
    <w:rsid w:val="006F0B4D"/>
    <w:rsid w:val="006F0F80"/>
    <w:rsid w:val="006F1278"/>
    <w:rsid w:val="006F4B1C"/>
    <w:rsid w:val="0070462A"/>
    <w:rsid w:val="007059B9"/>
    <w:rsid w:val="00722725"/>
    <w:rsid w:val="00724476"/>
    <w:rsid w:val="0076572C"/>
    <w:rsid w:val="007706A9"/>
    <w:rsid w:val="00771D39"/>
    <w:rsid w:val="0077384C"/>
    <w:rsid w:val="007836BE"/>
    <w:rsid w:val="00783B65"/>
    <w:rsid w:val="00784CA5"/>
    <w:rsid w:val="007C56BD"/>
    <w:rsid w:val="007D39E4"/>
    <w:rsid w:val="007D6D34"/>
    <w:rsid w:val="007D79EE"/>
    <w:rsid w:val="007E3A67"/>
    <w:rsid w:val="007F69B9"/>
    <w:rsid w:val="00812BB3"/>
    <w:rsid w:val="00827C68"/>
    <w:rsid w:val="00827FF2"/>
    <w:rsid w:val="008401CB"/>
    <w:rsid w:val="00881879"/>
    <w:rsid w:val="008D38C9"/>
    <w:rsid w:val="008E4CC3"/>
    <w:rsid w:val="008E78CC"/>
    <w:rsid w:val="008F7B2B"/>
    <w:rsid w:val="0091062C"/>
    <w:rsid w:val="00911DCE"/>
    <w:rsid w:val="00915263"/>
    <w:rsid w:val="00922E3D"/>
    <w:rsid w:val="009349C4"/>
    <w:rsid w:val="00952077"/>
    <w:rsid w:val="009525FF"/>
    <w:rsid w:val="0097114E"/>
    <w:rsid w:val="009726BD"/>
    <w:rsid w:val="00973016"/>
    <w:rsid w:val="00974606"/>
    <w:rsid w:val="00995E24"/>
    <w:rsid w:val="009A06BD"/>
    <w:rsid w:val="009A5625"/>
    <w:rsid w:val="009B4DF3"/>
    <w:rsid w:val="009C12EE"/>
    <w:rsid w:val="00A029D0"/>
    <w:rsid w:val="00A2149D"/>
    <w:rsid w:val="00A21F50"/>
    <w:rsid w:val="00A32123"/>
    <w:rsid w:val="00A42478"/>
    <w:rsid w:val="00A47A90"/>
    <w:rsid w:val="00A54D4C"/>
    <w:rsid w:val="00A93B06"/>
    <w:rsid w:val="00A97F95"/>
    <w:rsid w:val="00AA2FC0"/>
    <w:rsid w:val="00AB2974"/>
    <w:rsid w:val="00AD6C45"/>
    <w:rsid w:val="00B0765D"/>
    <w:rsid w:val="00B113C3"/>
    <w:rsid w:val="00B130B1"/>
    <w:rsid w:val="00B162A3"/>
    <w:rsid w:val="00B212C0"/>
    <w:rsid w:val="00B22B3A"/>
    <w:rsid w:val="00B2515F"/>
    <w:rsid w:val="00B345C6"/>
    <w:rsid w:val="00B63C91"/>
    <w:rsid w:val="00B7018F"/>
    <w:rsid w:val="00B738D0"/>
    <w:rsid w:val="00B7587F"/>
    <w:rsid w:val="00B7719A"/>
    <w:rsid w:val="00BC01CE"/>
    <w:rsid w:val="00BD0A94"/>
    <w:rsid w:val="00BD4264"/>
    <w:rsid w:val="00BF17FC"/>
    <w:rsid w:val="00C16BC5"/>
    <w:rsid w:val="00C36869"/>
    <w:rsid w:val="00C64460"/>
    <w:rsid w:val="00C83DC6"/>
    <w:rsid w:val="00C84212"/>
    <w:rsid w:val="00C94661"/>
    <w:rsid w:val="00C94EDC"/>
    <w:rsid w:val="00CA2ABB"/>
    <w:rsid w:val="00CA5BE5"/>
    <w:rsid w:val="00CA78BC"/>
    <w:rsid w:val="00CB22D2"/>
    <w:rsid w:val="00CD0BA3"/>
    <w:rsid w:val="00CD1271"/>
    <w:rsid w:val="00CD7632"/>
    <w:rsid w:val="00CE26B6"/>
    <w:rsid w:val="00CE5F6E"/>
    <w:rsid w:val="00CF39DA"/>
    <w:rsid w:val="00CF6809"/>
    <w:rsid w:val="00D01FAF"/>
    <w:rsid w:val="00D03B10"/>
    <w:rsid w:val="00D05ACE"/>
    <w:rsid w:val="00D22058"/>
    <w:rsid w:val="00D22324"/>
    <w:rsid w:val="00D25EC6"/>
    <w:rsid w:val="00D27B03"/>
    <w:rsid w:val="00D309A7"/>
    <w:rsid w:val="00D354E7"/>
    <w:rsid w:val="00D4014B"/>
    <w:rsid w:val="00D51144"/>
    <w:rsid w:val="00D62D28"/>
    <w:rsid w:val="00D720C2"/>
    <w:rsid w:val="00D75F78"/>
    <w:rsid w:val="00D76324"/>
    <w:rsid w:val="00D76883"/>
    <w:rsid w:val="00D8053E"/>
    <w:rsid w:val="00DA4B3C"/>
    <w:rsid w:val="00DA6154"/>
    <w:rsid w:val="00DB012A"/>
    <w:rsid w:val="00DC7081"/>
    <w:rsid w:val="00DD07DB"/>
    <w:rsid w:val="00DF1544"/>
    <w:rsid w:val="00DF456B"/>
    <w:rsid w:val="00E04228"/>
    <w:rsid w:val="00E165D4"/>
    <w:rsid w:val="00E21875"/>
    <w:rsid w:val="00E368AB"/>
    <w:rsid w:val="00E40150"/>
    <w:rsid w:val="00E401B0"/>
    <w:rsid w:val="00E44A6C"/>
    <w:rsid w:val="00E54A2A"/>
    <w:rsid w:val="00E62400"/>
    <w:rsid w:val="00E645F2"/>
    <w:rsid w:val="00E83641"/>
    <w:rsid w:val="00E867C1"/>
    <w:rsid w:val="00E90EA4"/>
    <w:rsid w:val="00E91C2E"/>
    <w:rsid w:val="00E946AF"/>
    <w:rsid w:val="00E96942"/>
    <w:rsid w:val="00EA3B28"/>
    <w:rsid w:val="00EA4E8E"/>
    <w:rsid w:val="00EB1243"/>
    <w:rsid w:val="00EB1C72"/>
    <w:rsid w:val="00EB20F4"/>
    <w:rsid w:val="00EB7F53"/>
    <w:rsid w:val="00EE5834"/>
    <w:rsid w:val="00EE72D4"/>
    <w:rsid w:val="00EF35A2"/>
    <w:rsid w:val="00F106B5"/>
    <w:rsid w:val="00F133C7"/>
    <w:rsid w:val="00F153D4"/>
    <w:rsid w:val="00F344C3"/>
    <w:rsid w:val="00F350CE"/>
    <w:rsid w:val="00F533F3"/>
    <w:rsid w:val="00F551AF"/>
    <w:rsid w:val="00F62C25"/>
    <w:rsid w:val="00F63AAF"/>
    <w:rsid w:val="00F8403F"/>
    <w:rsid w:val="00F84DE8"/>
    <w:rsid w:val="00FA1D8A"/>
    <w:rsid w:val="00FA458B"/>
    <w:rsid w:val="00FB1AB6"/>
    <w:rsid w:val="00FC28E7"/>
    <w:rsid w:val="00FC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F95A7C"/>
  <w15:chartTrackingRefBased/>
  <w15:docId w15:val="{0A7FA9FF-757B-5D4E-948E-64719E8A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278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8E78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6D3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C47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D34ED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styleId="Encabezado">
    <w:name w:val="header"/>
    <w:basedOn w:val="Normal"/>
    <w:link w:val="EncabezadoCar"/>
    <w:unhideWhenUsed/>
    <w:rsid w:val="006D34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D34ED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6D34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4ED"/>
    <w:rPr>
      <w:sz w:val="22"/>
      <w:szCs w:val="22"/>
    </w:rPr>
  </w:style>
  <w:style w:type="character" w:styleId="Hipervnculo">
    <w:name w:val="Hyperlink"/>
    <w:uiPriority w:val="99"/>
    <w:rsid w:val="006D34E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D34ED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D34ED"/>
  </w:style>
  <w:style w:type="character" w:customStyle="1" w:styleId="Ttulo4Car">
    <w:name w:val="Título 4 Car"/>
    <w:basedOn w:val="Fuentedeprrafopredeter"/>
    <w:link w:val="Ttulo4"/>
    <w:uiPriority w:val="9"/>
    <w:rsid w:val="002C4738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A93B06"/>
    <w:rPr>
      <w:b/>
      <w:bCs/>
    </w:rPr>
  </w:style>
  <w:style w:type="character" w:styleId="nfasis">
    <w:name w:val="Emphasis"/>
    <w:basedOn w:val="Fuentedeprrafopredeter"/>
    <w:uiPriority w:val="20"/>
    <w:qFormat/>
    <w:rsid w:val="00D03B10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1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14E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4F00BA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E1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165D4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8E78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visitado">
    <w:name w:val="FollowedHyperlink"/>
    <w:basedOn w:val="Fuentedeprrafopredeter"/>
    <w:uiPriority w:val="99"/>
    <w:semiHidden/>
    <w:unhideWhenUsed/>
    <w:rsid w:val="00E401B0"/>
    <w:rPr>
      <w:color w:val="954F72" w:themeColor="followedHyperlink"/>
      <w:u w:val="single"/>
    </w:rPr>
  </w:style>
  <w:style w:type="paragraph" w:customStyle="1" w:styleId="Default">
    <w:name w:val="Default"/>
    <w:rsid w:val="002449C0"/>
    <w:pPr>
      <w:autoSpaceDE w:val="0"/>
      <w:autoSpaceDN w:val="0"/>
      <w:adjustRightInd w:val="0"/>
    </w:pPr>
    <w:rPr>
      <w:rFonts w:ascii="Calibri" w:hAnsi="Calibri" w:cs="Calibri"/>
      <w:color w:val="000000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1274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274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274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74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7447"/>
    <w:rPr>
      <w:b/>
      <w:bCs/>
      <w:sz w:val="20"/>
      <w:szCs w:val="20"/>
    </w:rPr>
  </w:style>
  <w:style w:type="paragraph" w:customStyle="1" w:styleId="FechaPortada">
    <w:name w:val="FechaPortada"/>
    <w:basedOn w:val="Normal"/>
    <w:rsid w:val="000018ED"/>
    <w:pPr>
      <w:spacing w:after="120" w:line="240" w:lineRule="auto"/>
      <w:jc w:val="right"/>
    </w:pPr>
    <w:rPr>
      <w:rFonts w:ascii="Century Gothic" w:eastAsia="Times New Roman" w:hAnsi="Century Gothic" w:cs="Arial"/>
      <w:sz w:val="48"/>
      <w:szCs w:val="48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66233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6233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662337"/>
    <w:rPr>
      <w:vertAlign w:val="superscript"/>
    </w:rPr>
  </w:style>
  <w:style w:type="paragraph" w:customStyle="1" w:styleId="pf0">
    <w:name w:val="pf0"/>
    <w:basedOn w:val="Normal"/>
    <w:rsid w:val="00D75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ervices.hosting.augure.com/Response/cC7jy/%7B20b7ae7c-1691-4bbf-bd45-8b92c9fc1484%7D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ervices.hosting.augure.com/Response/cC7jy/%7B20b7ae7c-1691-4bbf-bd45-8b92c9fc1484%7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ervices.hosting.augure.com/Response/cC7jy/%7B20b7ae7c-1691-4bbf-bd45-8b92c9fc1484%7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30a81b32-a9a1-4088-8bb9-16f400a868cb" xsi:nil="true"/>
    <lcf76f155ced4ddcb4097134ff3c332f xmlns="30a81b32-a9a1-4088-8bb9-16f400a868cb">
      <Terms xmlns="http://schemas.microsoft.com/office/infopath/2007/PartnerControls"/>
    </lcf76f155ced4ddcb4097134ff3c332f>
    <TaxCatchAll xmlns="b37c6362-579c-46b3-9cac-1f0e107df98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143ACCD90F304081F3CA18D1A0F7FD" ma:contentTypeVersion="11" ma:contentTypeDescription="Crear nuevo documento." ma:contentTypeScope="" ma:versionID="d23a4ed18dd075842f1ece658426685b">
  <xsd:schema xmlns:xsd="http://www.w3.org/2001/XMLSchema" xmlns:xs="http://www.w3.org/2001/XMLSchema" xmlns:p="http://schemas.microsoft.com/office/2006/metadata/properties" xmlns:ns2="30a81b32-a9a1-4088-8bb9-16f400a868cb" xmlns:ns3="b37c6362-579c-46b3-9cac-1f0e107df98d" targetNamespace="http://schemas.microsoft.com/office/2006/metadata/properties" ma:root="true" ma:fieldsID="c95ffba2677baf782468d5f5c3803c9b" ns2:_="" ns3:_="">
    <xsd:import namespace="30a81b32-a9a1-4088-8bb9-16f400a868cb"/>
    <xsd:import namespace="b37c6362-579c-46b3-9cac-1f0e107df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1b32-a9a1-4088-8bb9-16f400a86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16895b94-e134-46ae-8eed-957aff2dcb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c6362-579c-46b3-9cac-1f0e107df98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45e2542-7003-4af1-acc1-2de406b3f14e}" ma:internalName="TaxCatchAll" ma:showField="CatchAllData" ma:web="b37c6362-579c-46b3-9cac-1f0e107df9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6DDEB4-A900-4CDC-B197-A450636FF9CD}">
  <ds:schemaRefs>
    <ds:schemaRef ds:uri="http://schemas.microsoft.com/office/2006/metadata/properties"/>
    <ds:schemaRef ds:uri="http://schemas.microsoft.com/office/infopath/2007/PartnerControls"/>
    <ds:schemaRef ds:uri="30a81b32-a9a1-4088-8bb9-16f400a868cb"/>
    <ds:schemaRef ds:uri="b37c6362-579c-46b3-9cac-1f0e107df98d"/>
  </ds:schemaRefs>
</ds:datastoreItem>
</file>

<file path=customXml/itemProps2.xml><?xml version="1.0" encoding="utf-8"?>
<ds:datastoreItem xmlns:ds="http://schemas.openxmlformats.org/officeDocument/2006/customXml" ds:itemID="{D401B0D9-22E4-48A0-B1BE-6A04E61608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4D403E-CA58-4BC2-922F-13EB9B8BDE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4615DE-5C68-4AAB-94D0-DCF08384B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81b32-a9a1-4088-8bb9-16f400a868cb"/>
    <ds:schemaRef ds:uri="b37c6362-579c-46b3-9cac-1f0e107df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1353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Abellán</dc:creator>
  <cp:keywords/>
  <dc:description/>
  <cp:lastModifiedBy>Alicia AL. Lobo Casero</cp:lastModifiedBy>
  <cp:revision>2</cp:revision>
  <dcterms:created xsi:type="dcterms:W3CDTF">2023-12-20T14:12:00Z</dcterms:created>
  <dcterms:modified xsi:type="dcterms:W3CDTF">2023-12-20T14:12:00Z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0x01010084143ACCD90F304081F3CA18D1A0F7FD</vt:lpwstr>
  </property>
  <property fmtid="{D5CDD505-2E9C-101B-9397-08002B2CF9AE}" pid="3" name="Order">
    <vt:r8>4400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