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3F62" w14:textId="77777777" w:rsidR="007D6D34" w:rsidRDefault="007D6D34" w:rsidP="00B7018F">
      <w:pPr>
        <w:pStyle w:val="Ttulo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 w:themeColor="text1"/>
          <w:sz w:val="36"/>
          <w:szCs w:val="36"/>
        </w:rPr>
      </w:pPr>
    </w:p>
    <w:p w14:paraId="27BB9635" w14:textId="55BEFA8F" w:rsidR="006D34ED" w:rsidRPr="006F0F80" w:rsidRDefault="000E5911" w:rsidP="00B7018F">
      <w:pPr>
        <w:pStyle w:val="Ttulo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6F0F80">
        <w:rPr>
          <w:rFonts w:ascii="Verdana" w:hAnsi="Verdana"/>
          <w:color w:val="000000" w:themeColor="text1"/>
          <w:sz w:val="36"/>
          <w:szCs w:val="36"/>
        </w:rPr>
        <w:t>LAS ENTIDADES NO LUCRATIVAS</w:t>
      </w:r>
      <w:r w:rsidR="00F133C7">
        <w:rPr>
          <w:rFonts w:ascii="Verdana" w:hAnsi="Verdana"/>
          <w:color w:val="000000" w:themeColor="text1"/>
          <w:sz w:val="36"/>
          <w:szCs w:val="36"/>
        </w:rPr>
        <w:t>, SATISFECHAS CON LA APROBACIÓN DE LA REFORMA</w:t>
      </w:r>
      <w:r w:rsidR="00E867C1" w:rsidRPr="006F0F80">
        <w:rPr>
          <w:rFonts w:ascii="Verdana" w:hAnsi="Verdana"/>
          <w:color w:val="000000" w:themeColor="text1"/>
          <w:sz w:val="36"/>
          <w:szCs w:val="36"/>
        </w:rPr>
        <w:t xml:space="preserve"> DE LA </w:t>
      </w:r>
      <w:r w:rsidR="0041704F" w:rsidRPr="006F0F80">
        <w:rPr>
          <w:rFonts w:ascii="Verdana" w:hAnsi="Verdana"/>
          <w:color w:val="000000" w:themeColor="text1"/>
          <w:sz w:val="36"/>
          <w:szCs w:val="36"/>
        </w:rPr>
        <w:t>LEY DE MECENAZGO</w:t>
      </w:r>
      <w:r w:rsidR="004E79CB" w:rsidRPr="006F0F80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="00F133C7">
        <w:rPr>
          <w:rFonts w:ascii="Verdana" w:hAnsi="Verdana"/>
          <w:color w:val="000000" w:themeColor="text1"/>
          <w:sz w:val="36"/>
          <w:szCs w:val="36"/>
        </w:rPr>
        <w:t xml:space="preserve">MEDIANTE </w:t>
      </w:r>
      <w:r w:rsidR="00A97F95">
        <w:rPr>
          <w:rFonts w:ascii="Verdana" w:hAnsi="Verdana"/>
          <w:color w:val="000000" w:themeColor="text1"/>
          <w:sz w:val="36"/>
          <w:szCs w:val="36"/>
        </w:rPr>
        <w:t xml:space="preserve">REAL </w:t>
      </w:r>
      <w:r w:rsidR="00F133C7">
        <w:rPr>
          <w:rFonts w:ascii="Verdana" w:hAnsi="Verdana"/>
          <w:color w:val="000000" w:themeColor="text1"/>
          <w:sz w:val="36"/>
          <w:szCs w:val="36"/>
        </w:rPr>
        <w:t>DECRETO-LEY</w:t>
      </w:r>
    </w:p>
    <w:p w14:paraId="5CAB90C5" w14:textId="77777777" w:rsidR="00FC28E7" w:rsidRDefault="00FC28E7" w:rsidP="00B7018F">
      <w:pPr>
        <w:pStyle w:val="Ttulo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662C309" w14:textId="3C0841E0" w:rsidR="00B162A3" w:rsidRPr="005B5360" w:rsidRDefault="00065710" w:rsidP="00065710">
      <w:pPr>
        <w:pStyle w:val="Ttulo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ED3C489" wp14:editId="54E2C7E7">
            <wp:extent cx="5400040" cy="2336800"/>
            <wp:effectExtent l="0" t="0" r="0" b="0"/>
            <wp:docPr id="1963561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6146" name="Imagen 19635614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76"/>
                    <a:stretch/>
                  </pic:blipFill>
                  <pic:spPr bwMode="auto">
                    <a:xfrm>
                      <a:off x="0" y="0"/>
                      <a:ext cx="5400040" cy="23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68201" w14:textId="3A5C32C6" w:rsidR="00F133C7" w:rsidRPr="00F133C7" w:rsidRDefault="00F133C7" w:rsidP="00EE1608">
      <w:pPr>
        <w:numPr>
          <w:ilvl w:val="0"/>
          <w:numId w:val="25"/>
        </w:numPr>
        <w:shd w:val="clear" w:color="auto" w:fill="FFFFFF"/>
        <w:tabs>
          <w:tab w:val="left" w:pos="6237"/>
        </w:tabs>
        <w:spacing w:before="100" w:beforeAutospacing="1" w:after="0" w:afterAutospacing="1" w:line="360" w:lineRule="auto"/>
        <w:jc w:val="both"/>
        <w:rPr>
          <w:rStyle w:val="Textoennegrita"/>
          <w:rFonts w:ascii="Verdana" w:hAnsi="Verdana"/>
          <w:color w:val="000000"/>
          <w:sz w:val="21"/>
          <w:szCs w:val="21"/>
        </w:rPr>
      </w:pPr>
      <w:r w:rsidRPr="00F133C7">
        <w:rPr>
          <w:rStyle w:val="Textoennegrita"/>
          <w:rFonts w:ascii="Verdana" w:hAnsi="Verdana"/>
          <w:color w:val="000000"/>
          <w:sz w:val="21"/>
          <w:szCs w:val="21"/>
        </w:rPr>
        <w:t xml:space="preserve">El Consejo de </w:t>
      </w:r>
      <w:proofErr w:type="gramStart"/>
      <w:r w:rsidRPr="00F133C7">
        <w:rPr>
          <w:rStyle w:val="Textoennegrita"/>
          <w:rFonts w:ascii="Verdana" w:hAnsi="Verdana"/>
          <w:color w:val="000000"/>
          <w:sz w:val="21"/>
          <w:szCs w:val="21"/>
        </w:rPr>
        <w:t>Ministros</w:t>
      </w:r>
      <w:proofErr w:type="gramEnd"/>
      <w:r w:rsidRPr="00F133C7">
        <w:rPr>
          <w:rStyle w:val="Textoennegrita"/>
          <w:rFonts w:ascii="Verdana" w:hAnsi="Verdana"/>
          <w:color w:val="000000"/>
          <w:sz w:val="21"/>
          <w:szCs w:val="21"/>
        </w:rPr>
        <w:t xml:space="preserve"> ha aprobado este martes 19 </w:t>
      </w:r>
      <w:r w:rsidRPr="00F133C7">
        <w:rPr>
          <w:rStyle w:val="Textoennegrita"/>
          <w:rFonts w:ascii="Verdana" w:hAnsi="Verdana"/>
          <w:sz w:val="21"/>
          <w:szCs w:val="21"/>
        </w:rPr>
        <w:t xml:space="preserve">un Real Decreto-Ley por el que modifica la </w:t>
      </w:r>
      <w:r>
        <w:rPr>
          <w:rStyle w:val="Textoennegrita"/>
          <w:rFonts w:ascii="Verdana" w:hAnsi="Verdana"/>
          <w:sz w:val="21"/>
          <w:szCs w:val="21"/>
        </w:rPr>
        <w:t>l</w:t>
      </w:r>
      <w:r w:rsidRPr="00F133C7">
        <w:rPr>
          <w:rStyle w:val="Textoennegrita"/>
          <w:rFonts w:ascii="Verdana" w:hAnsi="Verdana"/>
          <w:sz w:val="21"/>
          <w:szCs w:val="21"/>
        </w:rPr>
        <w:t xml:space="preserve">ey de </w:t>
      </w:r>
      <w:r>
        <w:rPr>
          <w:rStyle w:val="Textoennegrita"/>
          <w:rFonts w:ascii="Verdana" w:hAnsi="Verdana"/>
          <w:sz w:val="21"/>
          <w:szCs w:val="21"/>
        </w:rPr>
        <w:t>m</w:t>
      </w:r>
      <w:r w:rsidRPr="00F133C7">
        <w:rPr>
          <w:rStyle w:val="Textoennegrita"/>
          <w:rFonts w:ascii="Verdana" w:hAnsi="Verdana"/>
          <w:sz w:val="21"/>
          <w:szCs w:val="21"/>
        </w:rPr>
        <w:t>ecenazgo</w:t>
      </w:r>
    </w:p>
    <w:p w14:paraId="26E68E62" w14:textId="75ECAF98" w:rsidR="00D22058" w:rsidRPr="008D38C9" w:rsidRDefault="00F133C7" w:rsidP="008D38C9">
      <w:pPr>
        <w:numPr>
          <w:ilvl w:val="0"/>
          <w:numId w:val="25"/>
        </w:numPr>
        <w:shd w:val="clear" w:color="auto" w:fill="FFFFFF"/>
        <w:tabs>
          <w:tab w:val="left" w:pos="6237"/>
        </w:tabs>
        <w:spacing w:before="100" w:beforeAutospacing="1" w:after="100" w:afterAutospacing="1" w:line="360" w:lineRule="auto"/>
        <w:jc w:val="both"/>
        <w:rPr>
          <w:rStyle w:val="Textoennegrita"/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000000"/>
          <w:sz w:val="21"/>
          <w:szCs w:val="21"/>
        </w:rPr>
        <w:t xml:space="preserve">La aprobación de la reforma de la ley de mecenazgo se frustró en la pasada legislatura </w:t>
      </w:r>
      <w:r w:rsidR="0070462A">
        <w:rPr>
          <w:rStyle w:val="Textoennegrita"/>
          <w:rFonts w:ascii="Verdana" w:hAnsi="Verdana"/>
          <w:color w:val="000000"/>
          <w:sz w:val="21"/>
          <w:szCs w:val="21"/>
        </w:rPr>
        <w:t xml:space="preserve">pocos días </w:t>
      </w:r>
      <w:r>
        <w:rPr>
          <w:rStyle w:val="Textoennegrita"/>
          <w:rFonts w:ascii="Verdana" w:hAnsi="Verdana"/>
          <w:color w:val="000000"/>
          <w:sz w:val="21"/>
          <w:szCs w:val="21"/>
        </w:rPr>
        <w:t xml:space="preserve">antes de recibir la conformidad del Senado. </w:t>
      </w:r>
      <w:r w:rsidR="004E79CB" w:rsidRPr="004E79CB">
        <w:rPr>
          <w:rStyle w:val="Textoennegrita"/>
          <w:rFonts w:ascii="Verdana" w:hAnsi="Verdana"/>
          <w:color w:val="222222"/>
          <w:sz w:val="21"/>
          <w:szCs w:val="21"/>
        </w:rPr>
        <w:t xml:space="preserve">Tras ser </w:t>
      </w:r>
      <w:r w:rsidR="0070462A">
        <w:rPr>
          <w:rStyle w:val="Textoennegrita"/>
          <w:rFonts w:ascii="Verdana" w:hAnsi="Verdana"/>
          <w:color w:val="222222"/>
          <w:sz w:val="21"/>
          <w:szCs w:val="21"/>
        </w:rPr>
        <w:t xml:space="preserve">aprobada </w:t>
      </w:r>
      <w:r w:rsidR="004E79CB" w:rsidRPr="004E79CB">
        <w:rPr>
          <w:rStyle w:val="Textoennegrita"/>
          <w:rFonts w:ascii="Verdana" w:hAnsi="Verdana"/>
          <w:color w:val="222222"/>
          <w:sz w:val="21"/>
          <w:szCs w:val="21"/>
        </w:rPr>
        <w:t xml:space="preserve">en el Congreso, la reforma se encontraba en trámite en </w:t>
      </w:r>
      <w:r>
        <w:rPr>
          <w:rStyle w:val="Textoennegrita"/>
          <w:rFonts w:ascii="Verdana" w:hAnsi="Verdana"/>
          <w:color w:val="222222"/>
          <w:sz w:val="21"/>
          <w:szCs w:val="21"/>
        </w:rPr>
        <w:t>la Cámara Alta</w:t>
      </w:r>
      <w:r w:rsidR="004E79CB">
        <w:rPr>
          <w:rStyle w:val="Textoennegrita"/>
          <w:rFonts w:ascii="Verdana" w:hAnsi="Verdana"/>
          <w:color w:val="222222"/>
          <w:sz w:val="21"/>
          <w:szCs w:val="21"/>
        </w:rPr>
        <w:t xml:space="preserve"> cuando ambas Cámaras se disolvieron por el 23J</w:t>
      </w:r>
    </w:p>
    <w:p w14:paraId="1B57509A" w14:textId="5B826BA9" w:rsidR="008D38C9" w:rsidRPr="008D38C9" w:rsidRDefault="00D76324" w:rsidP="008D38C9">
      <w:pPr>
        <w:numPr>
          <w:ilvl w:val="0"/>
          <w:numId w:val="25"/>
        </w:numPr>
        <w:shd w:val="clear" w:color="auto" w:fill="FFFFFF"/>
        <w:tabs>
          <w:tab w:val="left" w:pos="6237"/>
        </w:tabs>
        <w:spacing w:before="100" w:beforeAutospacing="1" w:after="100" w:afterAutospacing="1" w:line="360" w:lineRule="auto"/>
        <w:jc w:val="both"/>
        <w:rPr>
          <w:rStyle w:val="Textoennegrita"/>
          <w:rFonts w:ascii="Verdana" w:hAnsi="Verdana"/>
          <w:color w:val="222222"/>
          <w:sz w:val="21"/>
          <w:szCs w:val="21"/>
        </w:rPr>
      </w:pPr>
      <w:r w:rsidRPr="008D38C9">
        <w:rPr>
          <w:rStyle w:val="Textoennegrita"/>
          <w:rFonts w:ascii="Verdana" w:hAnsi="Verdana"/>
          <w:color w:val="222222"/>
          <w:sz w:val="21"/>
          <w:szCs w:val="21"/>
        </w:rPr>
        <w:t xml:space="preserve">La reforma es fruto del consenso del sector </w:t>
      </w:r>
    </w:p>
    <w:p w14:paraId="3409DA04" w14:textId="15B2B39A" w:rsidR="009349C4" w:rsidRPr="00CB22D2" w:rsidRDefault="002449C0" w:rsidP="0041704F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0462A">
        <w:rPr>
          <w:rFonts w:ascii="Verdana" w:hAnsi="Verdana"/>
          <w:b/>
          <w:bCs/>
          <w:sz w:val="20"/>
          <w:szCs w:val="20"/>
        </w:rPr>
        <w:t xml:space="preserve">Madrid, </w:t>
      </w:r>
      <w:r w:rsidR="0070462A" w:rsidRPr="0070462A">
        <w:rPr>
          <w:rFonts w:ascii="Verdana" w:hAnsi="Verdana"/>
          <w:b/>
          <w:bCs/>
          <w:sz w:val="20"/>
          <w:szCs w:val="20"/>
        </w:rPr>
        <w:t>20</w:t>
      </w:r>
      <w:r w:rsidR="009A5625" w:rsidRPr="0070462A">
        <w:rPr>
          <w:rFonts w:ascii="Verdana" w:hAnsi="Verdana"/>
          <w:b/>
          <w:bCs/>
          <w:sz w:val="20"/>
          <w:szCs w:val="20"/>
        </w:rPr>
        <w:t xml:space="preserve"> </w:t>
      </w:r>
      <w:r w:rsidR="004E79CB" w:rsidRPr="0070462A">
        <w:rPr>
          <w:rFonts w:ascii="Verdana" w:hAnsi="Verdana"/>
          <w:b/>
          <w:bCs/>
          <w:sz w:val="20"/>
          <w:szCs w:val="20"/>
        </w:rPr>
        <w:t xml:space="preserve">de </w:t>
      </w:r>
      <w:r w:rsidR="009A5625" w:rsidRPr="0070462A">
        <w:rPr>
          <w:rFonts w:ascii="Verdana" w:hAnsi="Verdana"/>
          <w:b/>
          <w:bCs/>
          <w:sz w:val="20"/>
          <w:szCs w:val="20"/>
        </w:rPr>
        <w:t xml:space="preserve">diciembre </w:t>
      </w:r>
      <w:r w:rsidRPr="0070462A">
        <w:rPr>
          <w:rFonts w:ascii="Verdana" w:hAnsi="Verdana"/>
          <w:b/>
          <w:bCs/>
          <w:sz w:val="20"/>
          <w:szCs w:val="20"/>
        </w:rPr>
        <w:t xml:space="preserve">de 2023. </w:t>
      </w:r>
      <w:r w:rsidR="009349C4" w:rsidRPr="00F8403F">
        <w:rPr>
          <w:rFonts w:ascii="Verdana" w:hAnsi="Verdana"/>
          <w:sz w:val="20"/>
          <w:szCs w:val="20"/>
        </w:rPr>
        <w:t xml:space="preserve">El Consejo de </w:t>
      </w:r>
      <w:proofErr w:type="gramStart"/>
      <w:r w:rsidR="009349C4" w:rsidRPr="00F8403F">
        <w:rPr>
          <w:rFonts w:ascii="Verdana" w:hAnsi="Verdana"/>
          <w:sz w:val="20"/>
          <w:szCs w:val="20"/>
        </w:rPr>
        <w:t>Ministros</w:t>
      </w:r>
      <w:proofErr w:type="gramEnd"/>
      <w:r w:rsidR="009349C4" w:rsidRPr="00F8403F">
        <w:rPr>
          <w:rFonts w:ascii="Verdana" w:hAnsi="Verdana"/>
          <w:sz w:val="20"/>
          <w:szCs w:val="20"/>
        </w:rPr>
        <w:t xml:space="preserve"> ha aprobado este martes 19 de diciembre un Real Decreto-Ley mediante el que modifica la ley de mecenazgo vigente desde hace 21 años.</w:t>
      </w:r>
      <w:r w:rsidR="009349C4" w:rsidRPr="00CB22D2">
        <w:rPr>
          <w:rFonts w:ascii="Verdana" w:hAnsi="Verdana"/>
          <w:b/>
          <w:bCs/>
          <w:sz w:val="20"/>
          <w:szCs w:val="20"/>
        </w:rPr>
        <w:t> </w:t>
      </w:r>
    </w:p>
    <w:p w14:paraId="613E6A06" w14:textId="256E2D96" w:rsidR="009349C4" w:rsidRPr="00342C52" w:rsidRDefault="009349C4" w:rsidP="00342C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42C52">
        <w:rPr>
          <w:rFonts w:ascii="Verdana" w:hAnsi="Verdana"/>
          <w:sz w:val="20"/>
          <w:szCs w:val="20"/>
        </w:rPr>
        <w:t>La aprobación de la reforma de dicha ley se frustró en la pasada legislatura dos días antes de recibir la conformidad del Senado. Tras ser refrendada en el Congreso</w:t>
      </w:r>
      <w:r w:rsidR="00342C52" w:rsidRPr="00342C52">
        <w:rPr>
          <w:rFonts w:ascii="Verdana" w:hAnsi="Verdana"/>
          <w:sz w:val="20"/>
          <w:szCs w:val="20"/>
        </w:rPr>
        <w:t xml:space="preserve"> con los votos favorables del todos los partidos políticos (31 votos) y la abstención de Vox (5 abstenciones), </w:t>
      </w:r>
      <w:r w:rsidRPr="00342C52">
        <w:rPr>
          <w:rFonts w:ascii="Verdana" w:hAnsi="Verdana"/>
          <w:sz w:val="20"/>
          <w:szCs w:val="20"/>
        </w:rPr>
        <w:t>la reforma se encontraba en trámite en la Cámara Alta cuando ambas Cámaras se disolvieron por el adelanto electo</w:t>
      </w:r>
      <w:r w:rsidR="00342C52" w:rsidRPr="00342C52">
        <w:rPr>
          <w:rFonts w:ascii="Verdana" w:hAnsi="Verdana"/>
          <w:sz w:val="20"/>
          <w:szCs w:val="20"/>
        </w:rPr>
        <w:t>r</w:t>
      </w:r>
      <w:r w:rsidRPr="00342C52">
        <w:rPr>
          <w:rFonts w:ascii="Verdana" w:hAnsi="Verdana"/>
          <w:sz w:val="20"/>
          <w:szCs w:val="20"/>
        </w:rPr>
        <w:t xml:space="preserve">al del 23J. Ahora, el Gobierno </w:t>
      </w:r>
      <w:r w:rsidRPr="00342C52">
        <w:rPr>
          <w:rFonts w:ascii="Verdana" w:hAnsi="Verdana"/>
          <w:sz w:val="20"/>
          <w:szCs w:val="20"/>
        </w:rPr>
        <w:lastRenderedPageBreak/>
        <w:t xml:space="preserve">la ha aprobado </w:t>
      </w:r>
      <w:r w:rsidR="00DC7081">
        <w:rPr>
          <w:rFonts w:ascii="Verdana" w:hAnsi="Verdana"/>
          <w:sz w:val="20"/>
          <w:szCs w:val="20"/>
        </w:rPr>
        <w:t xml:space="preserve">este martes </w:t>
      </w:r>
      <w:r w:rsidRPr="00342C52">
        <w:rPr>
          <w:rFonts w:ascii="Verdana" w:hAnsi="Verdana"/>
          <w:sz w:val="20"/>
          <w:szCs w:val="20"/>
        </w:rPr>
        <w:t xml:space="preserve">como Real Decreto-Ley y entrará en vigor el 1 de enero de 2024. Posteriormente, </w:t>
      </w:r>
      <w:r w:rsidR="00342C52" w:rsidRPr="00342C52">
        <w:rPr>
          <w:rFonts w:ascii="Verdana" w:hAnsi="Verdana"/>
          <w:sz w:val="20"/>
          <w:szCs w:val="20"/>
        </w:rPr>
        <w:t xml:space="preserve">el Parlamento tendrá que validarla. </w:t>
      </w:r>
    </w:p>
    <w:p w14:paraId="4B8B5A86" w14:textId="2EAF93D2" w:rsidR="00342C52" w:rsidRDefault="00342C52" w:rsidP="00342C5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marco jurídico vigente en España para el mecenazgo es la </w:t>
      </w:r>
      <w:r w:rsidRPr="006F1278">
        <w:rPr>
          <w:rFonts w:ascii="Verdana" w:hAnsi="Verdana"/>
          <w:sz w:val="20"/>
          <w:szCs w:val="20"/>
        </w:rPr>
        <w:t>ley 49/2002</w:t>
      </w:r>
      <w:r>
        <w:rPr>
          <w:rFonts w:ascii="Verdana" w:hAnsi="Verdana"/>
          <w:sz w:val="20"/>
          <w:szCs w:val="20"/>
        </w:rPr>
        <w:t xml:space="preserve">, </w:t>
      </w:r>
      <w:r w:rsidRPr="006F1278">
        <w:rPr>
          <w:rFonts w:ascii="Verdana" w:hAnsi="Verdana"/>
          <w:sz w:val="20"/>
          <w:szCs w:val="20"/>
        </w:rPr>
        <w:t>de 23 de diciembre</w:t>
      </w:r>
      <w:r>
        <w:rPr>
          <w:rFonts w:ascii="Verdana" w:hAnsi="Verdana"/>
          <w:sz w:val="20"/>
          <w:szCs w:val="20"/>
        </w:rPr>
        <w:t xml:space="preserve"> </w:t>
      </w:r>
      <w:r w:rsidRPr="006F1278">
        <w:rPr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>, a su vez,</w:t>
      </w:r>
      <w:r w:rsidRPr="006F1278">
        <w:rPr>
          <w:rFonts w:ascii="Verdana" w:hAnsi="Verdana"/>
          <w:sz w:val="20"/>
          <w:szCs w:val="20"/>
        </w:rPr>
        <w:t xml:space="preserve"> actualizaba la ley 30/1994, de Fundaciones y de Incentivos Fiscales a la Participación Privada en Actividades de Interés General</w:t>
      </w:r>
      <w:r>
        <w:rPr>
          <w:rFonts w:ascii="Verdana" w:hAnsi="Verdana"/>
          <w:sz w:val="20"/>
          <w:szCs w:val="20"/>
        </w:rPr>
        <w:t xml:space="preserve">, la primera que incorporó el término “mecenazgo”. </w:t>
      </w:r>
    </w:p>
    <w:p w14:paraId="052F5D36" w14:textId="4C4013E0" w:rsidR="00342C52" w:rsidRDefault="00DC7081" w:rsidP="00342C5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42C52">
        <w:rPr>
          <w:rFonts w:ascii="Verdana" w:hAnsi="Verdana"/>
          <w:sz w:val="20"/>
          <w:szCs w:val="20"/>
        </w:rPr>
        <w:t>as novedades que introduce la reforma de la ley del mecenazgo en la norma 49/20</w:t>
      </w:r>
      <w:r w:rsidR="00D76883">
        <w:rPr>
          <w:rFonts w:ascii="Verdana" w:hAnsi="Verdana"/>
          <w:sz w:val="20"/>
          <w:szCs w:val="20"/>
        </w:rPr>
        <w:t>0</w:t>
      </w:r>
      <w:r w:rsidR="00342C52">
        <w:rPr>
          <w:rFonts w:ascii="Verdana" w:hAnsi="Verdana"/>
          <w:sz w:val="20"/>
          <w:szCs w:val="20"/>
        </w:rPr>
        <w:t xml:space="preserve">2 son las siguientes: </w:t>
      </w:r>
    </w:p>
    <w:p w14:paraId="39BC788A" w14:textId="1FD1AC90" w:rsidR="00342C52" w:rsidRDefault="00342C52" w:rsidP="00342C52">
      <w:pPr>
        <w:pStyle w:val="Prrafodelista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Verdana" w:eastAsia="Times New Roman" w:hAnsi="Verdana" w:cs="Open Sans"/>
          <w:color w:val="333333"/>
          <w:sz w:val="20"/>
          <w:szCs w:val="20"/>
          <w:lang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CB48" wp14:editId="29E461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1895764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406E4" w14:textId="77777777" w:rsidR="00342C52" w:rsidRDefault="00342C52" w:rsidP="00342C5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Se estimula el micromecenazgo y se incrementan los porcentajes de deducción: en el caso de personas físicas, se eleva de 150€ a 250€ la base sobre la que se puede deducir el 80% de la donación 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del 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IRPF y por el resto habrá un 40% de deducción (en lugar del 35% vigente). En el caso de personas jurídicas, las deducciones en el impuesto 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sobre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 sociedades también pasan del 35 al 40%. En ambos casos, para premiar el mecenazgo sostenido, la deducción aumenta al 45% en el caso de personas físicas y al 50% para las personas jurídicas (ambos ahora al 40%) si, en los 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dos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 años anteriores, 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se 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ha realizado la donación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 a la misma entidad al menos por el mismo importe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</w:p>
                          <w:p w14:paraId="39F4301D" w14:textId="77777777" w:rsidR="0070462A" w:rsidRPr="0070462A" w:rsidRDefault="0070462A" w:rsidP="0070462A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56A40" w14:textId="77777777" w:rsidR="0070462A" w:rsidRDefault="0070462A" w:rsidP="0070462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0462A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Se incluye en el concepto de donación fiscalmente deducible la cesión de uso de todo tipo de muebles e inmuebles dentro del concepto más genérico de donación de derechos.</w:t>
                            </w:r>
                          </w:p>
                          <w:p w14:paraId="3D5D7121" w14:textId="77777777" w:rsidR="0070462A" w:rsidRPr="0070462A" w:rsidRDefault="0070462A" w:rsidP="0070462A">
                            <w:pPr>
                              <w:pStyle w:val="Prrafodelista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8D629F6" w14:textId="77777777" w:rsidR="0070462A" w:rsidRPr="0070462A" w:rsidRDefault="0070462A" w:rsidP="0070462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0462A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Se amplía el concepto de convenio de colaboración incluyendo de forma expresa las aportaciones en especie incluida la prestación gratuita de servicios. El colaborador podrá además difundir esta colaboración.</w:t>
                            </w:r>
                          </w:p>
                          <w:p w14:paraId="0B3C3533" w14:textId="66304FE5" w:rsidR="00342C52" w:rsidRPr="008F7B2B" w:rsidRDefault="00342C52" w:rsidP="0070462A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941651"/>
                                <w:sz w:val="20"/>
                                <w:szCs w:val="20"/>
                              </w:rPr>
                            </w:pPr>
                            <w:r w:rsidRPr="008F7B2B">
                              <w:rPr>
                                <w:rFonts w:ascii="Verdana" w:eastAsia="Times New Roman" w:hAnsi="Verdana" w:cs="Open Sans"/>
                                <w:color w:val="941651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5CB4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" filled="f" strokeweight=".5pt">
                <v:textbox style="mso-fit-shape-to-text:t">
                  <w:txbxContent>
                    <w:p w14:paraId="454406E4" w14:textId="77777777" w:rsidR="00342C52" w:rsidRDefault="00342C52" w:rsidP="00342C5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Se estimula el micromecenazgo y se incrementan los porcentajes de deducción: en el caso de personas físicas, se eleva de 150€ a 250€ la base sobre la que se puede deducir el 80% de la donación 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del 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IRPF y por el resto habrá un 40% de deducción (en lugar del 35% vigente). En el caso de personas jurídicas, las deducciones en el impuesto 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sobre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 sociedades también pasan del 35 al 40%. En ambos casos, para premiar el mecenazgo sostenido, la deducción aumenta al 45% en el caso de personas físicas y al 50% para las personas jurídicas (ambos ahora al 40%) si, en los 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dos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 años anteriores, 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se 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ha realizado la donación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 a la misma entidad al menos por el mismo importe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.</w:t>
                      </w:r>
                    </w:p>
                    <w:p w14:paraId="39F4301D" w14:textId="77777777" w:rsidR="0070462A" w:rsidRPr="0070462A" w:rsidRDefault="0070462A" w:rsidP="0070462A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6356A40" w14:textId="77777777" w:rsidR="0070462A" w:rsidRDefault="0070462A" w:rsidP="0070462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  <w:r w:rsidRPr="0070462A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Se incluye en el concepto de donación fiscalmente deducible la cesión de uso de todo tipo de muebles e inmuebles dentro del concepto más genérico de donación de derechos.</w:t>
                      </w:r>
                    </w:p>
                    <w:p w14:paraId="3D5D7121" w14:textId="77777777" w:rsidR="0070462A" w:rsidRPr="0070462A" w:rsidRDefault="0070462A" w:rsidP="0070462A">
                      <w:pPr>
                        <w:pStyle w:val="Prrafodelista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8D629F6" w14:textId="77777777" w:rsidR="0070462A" w:rsidRPr="0070462A" w:rsidRDefault="0070462A" w:rsidP="0070462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  <w:r w:rsidRPr="0070462A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Se amplía el concepto de convenio de colaboración incluyendo de forma expresa las aportaciones en especie incluida la prestación gratuita de servicios. El colaborador podrá además difundir esta colaboración.</w:t>
                      </w:r>
                    </w:p>
                    <w:p w14:paraId="0B3C3533" w14:textId="66304FE5" w:rsidR="00342C52" w:rsidRPr="008F7B2B" w:rsidRDefault="00342C52" w:rsidP="0070462A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941651"/>
                          <w:sz w:val="20"/>
                          <w:szCs w:val="20"/>
                        </w:rPr>
                      </w:pPr>
                      <w:r w:rsidRPr="008F7B2B">
                        <w:rPr>
                          <w:rFonts w:ascii="Verdana" w:eastAsia="Times New Roman" w:hAnsi="Verdana" w:cs="Open Sans"/>
                          <w:color w:val="941651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1FCAB" w14:textId="77777777" w:rsidR="00B7719A" w:rsidRDefault="00342C52" w:rsidP="00342C52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C5F2A" wp14:editId="358B7F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4221722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D4505" w14:textId="166F83FA" w:rsidR="0070462A" w:rsidRPr="0070462A" w:rsidRDefault="00342C52" w:rsidP="00342C5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Se 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incluye el </w:t>
                            </w:r>
                            <w:r w:rsidRPr="0070462A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denominado </w:t>
                            </w:r>
                            <w:r w:rsidR="0070462A" w:rsidRPr="0070462A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mecenazgo de reconocimiento o recompensa que permite que el donante obtenga retornos simbólicos en forma de contraprestación de bienes o servicios, siempre que no representen más del 15% del valor de la donación con un tope máximo de 25.000 €. </w:t>
                            </w:r>
                          </w:p>
                          <w:p w14:paraId="6FB18785" w14:textId="77777777" w:rsidR="00342C52" w:rsidRDefault="00342C52" w:rsidP="00342C52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8A8DF13" w14:textId="77777777" w:rsidR="00342C52" w:rsidRDefault="00342C52" w:rsidP="00342C5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Se amplía</w:t>
                            </w:r>
                            <w:r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n</w:t>
                            </w: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 xml:space="preserve"> las modalidades de explotaciones económicas exentas, cuando sean desarrolladas por entidades sin ánimo de lucro, en las siguientes actividades: desarrollo e innovación, prestaciones de servicios de inserción sociolaboral de personas en riesgo de exclusión social y de enseñanza y formación profesional vinculadas a estudiantes de altas capacidades.</w:t>
                            </w:r>
                          </w:p>
                          <w:p w14:paraId="518282A4" w14:textId="77777777" w:rsidR="00342C52" w:rsidRDefault="00342C52" w:rsidP="00342C52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6DAA3E6" w14:textId="77777777" w:rsidR="00342C52" w:rsidRPr="00EA3F2B" w:rsidRDefault="00342C52" w:rsidP="00EA3F2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360"/>
                              <w:jc w:val="both"/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0E7379">
                              <w:rPr>
                                <w:rFonts w:ascii="Verdana" w:eastAsia="Times New Roman" w:hAnsi="Verdana" w:cs="Open Sans"/>
                                <w:color w:val="333333"/>
                                <w:sz w:val="20"/>
                                <w:szCs w:val="20"/>
                                <w:lang w:eastAsia="es-ES_tradnl"/>
                              </w:rPr>
                              <w:t>Se refuerza el automatismo por aplicar exenciones de tributos de competencia local a los bienes de entidades sin ánimo de lucro.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C5F2A" 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" filled="f" strokeweight=".5pt">
                <v:textbox style="mso-fit-shape-to-text:t">
                  <w:txbxContent>
                    <w:p w14:paraId="546D4505" w14:textId="166F83FA" w:rsidR="0070462A" w:rsidRPr="0070462A" w:rsidRDefault="00342C52" w:rsidP="00342C5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Se 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incluye el </w:t>
                      </w:r>
                      <w:r w:rsidRPr="0070462A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denominado </w:t>
                      </w:r>
                      <w:r w:rsidR="0070462A" w:rsidRPr="0070462A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mecenazgo de reconocimiento o recompensa que permite que el donante obtenga retornos simbólicos en forma de contraprestación de bienes o servicios, siempre que no representen más del 15% del valor de la donación con un tope máximo de 25.000 €. </w:t>
                      </w:r>
                    </w:p>
                    <w:p w14:paraId="6FB18785" w14:textId="77777777" w:rsidR="00342C52" w:rsidRDefault="00342C52" w:rsidP="00342C52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8A8DF13" w14:textId="77777777" w:rsidR="00342C52" w:rsidRDefault="00342C52" w:rsidP="00342C5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Se amplía</w:t>
                      </w:r>
                      <w:r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n</w:t>
                      </w: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 xml:space="preserve"> las modalidades de explotaciones económicas exentas, cuando sean desarrolladas por entidades sin ánimo de lucro, en las siguientes actividades: desarrollo e innovación, prestaciones de servicios de inserción sociolaboral de personas en riesgo de exclusión social y de enseñanza y formación profesional vinculadas a estudiantes de altas capacidades.</w:t>
                      </w:r>
                    </w:p>
                    <w:p w14:paraId="518282A4" w14:textId="77777777" w:rsidR="00342C52" w:rsidRDefault="00342C52" w:rsidP="00342C52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6DAA3E6" w14:textId="77777777" w:rsidR="00342C52" w:rsidRPr="00EA3F2B" w:rsidRDefault="00342C52" w:rsidP="00EA3F2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360"/>
                        <w:jc w:val="both"/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</w:rPr>
                      </w:pPr>
                      <w:r w:rsidRPr="000E7379">
                        <w:rPr>
                          <w:rFonts w:ascii="Verdana" w:eastAsia="Times New Roman" w:hAnsi="Verdana" w:cs="Open Sans"/>
                          <w:color w:val="333333"/>
                          <w:sz w:val="20"/>
                          <w:szCs w:val="20"/>
                          <w:lang w:eastAsia="es-ES_tradnl"/>
                        </w:rPr>
                        <w:t>Se refuerza el automatismo por aplicar exenciones de tributos de competencia local a los bienes de entidades sin ánimo de lucro.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2B6E8" w14:textId="727A7A95" w:rsidR="00660A35" w:rsidRDefault="00660A35" w:rsidP="00342C5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Aptos" w:hAnsi="Aptos"/>
          <w:color w:val="212121"/>
        </w:rPr>
        <w:t>"</w:t>
      </w:r>
      <w:r w:rsidRPr="009726BD">
        <w:rPr>
          <w:rFonts w:ascii="Verdana" w:hAnsi="Verdana"/>
          <w:b/>
          <w:bCs/>
          <w:sz w:val="20"/>
          <w:szCs w:val="20"/>
        </w:rPr>
        <w:t>Estamos seguros de que esta modificación de la Ley de Mecenazgo será un estímulo entre la ciudadanía y el sector privado para elevar el valor de las donaciones, herramienta esencial para la sostenibilidad de las causas de interés general desarrolladas por las entidades no lucrativas</w:t>
      </w:r>
      <w:r w:rsidRPr="009726BD">
        <w:rPr>
          <w:rFonts w:ascii="Verdana" w:hAnsi="Verdana"/>
          <w:sz w:val="20"/>
          <w:szCs w:val="20"/>
        </w:rPr>
        <w:t xml:space="preserve">”, </w:t>
      </w:r>
      <w:r>
        <w:rPr>
          <w:rFonts w:ascii="Verdana" w:hAnsi="Verdana"/>
          <w:sz w:val="20"/>
          <w:szCs w:val="20"/>
        </w:rPr>
        <w:t>explica</w:t>
      </w:r>
      <w:r w:rsidRPr="009726BD">
        <w:rPr>
          <w:rFonts w:ascii="Verdana" w:hAnsi="Verdana"/>
          <w:sz w:val="20"/>
          <w:szCs w:val="20"/>
        </w:rPr>
        <w:t xml:space="preserve"> 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Glòria</w:t>
      </w:r>
      <w:proofErr w:type="spellEnd"/>
      <w:r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 Oliver, presidenta de la Asociación Española de 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Fundraising</w:t>
      </w:r>
      <w:proofErr w:type="spellEnd"/>
      <w:r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 (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AEFr</w:t>
      </w:r>
      <w:proofErr w:type="spellEnd"/>
      <w:r w:rsidRPr="00660A35">
        <w:rPr>
          <w:rFonts w:ascii="Verdana" w:hAnsi="Verdana"/>
          <w:b/>
          <w:bCs/>
          <w:color w:val="E6007E"/>
          <w:sz w:val="20"/>
          <w:szCs w:val="20"/>
        </w:rPr>
        <w:t>).</w:t>
      </w:r>
      <w:r w:rsidRPr="009726BD">
        <w:rPr>
          <w:rFonts w:ascii="Verdana" w:hAnsi="Verdana"/>
          <w:b/>
          <w:bCs/>
          <w:sz w:val="20"/>
          <w:szCs w:val="20"/>
        </w:rPr>
        <w:t xml:space="preserve"> Esta modificación de la Ley supondrá una importante transformación para el Tercer Sector, ya que “facilita y reconoce la implicación y el compromiso de la ciudadanía en los problemas de la sociedad, desde una perspectiva de altruismo y, en definitiva, elevando el Estado del Bienestar”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44917C9F" w14:textId="300FDECA" w:rsidR="00342C52" w:rsidRPr="00B7719A" w:rsidRDefault="00342C52" w:rsidP="00342C52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B22D2">
        <w:rPr>
          <w:rFonts w:ascii="Verdana" w:hAnsi="Verdana"/>
          <w:b/>
          <w:bCs/>
          <w:sz w:val="20"/>
          <w:szCs w:val="20"/>
        </w:rPr>
        <w:t>“Esta reforma normativa es un importante paso en el reconocimiento de la imprescindible labor que las entidades no lucrativas (ENL) llevan a cabo en España para cumplir los fines de interés general</w:t>
      </w:r>
      <w:r w:rsidR="00CB22D2" w:rsidRPr="00CB22D2">
        <w:rPr>
          <w:rFonts w:ascii="Verdana" w:hAnsi="Verdana"/>
          <w:b/>
          <w:bCs/>
          <w:sz w:val="20"/>
          <w:szCs w:val="20"/>
        </w:rPr>
        <w:t xml:space="preserve"> y esperamos que no haya ningún problema en su convalidación en las Cortes</w:t>
      </w:r>
      <w:r w:rsidRPr="00CB22D2">
        <w:rPr>
          <w:rFonts w:ascii="Verdana" w:hAnsi="Verdana"/>
          <w:b/>
          <w:bCs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explica la </w:t>
      </w:r>
      <w:r w:rsidRPr="00660A35">
        <w:rPr>
          <w:rFonts w:ascii="Verdana" w:hAnsi="Verdana"/>
          <w:b/>
          <w:bCs/>
          <w:color w:val="E6007E"/>
          <w:sz w:val="20"/>
          <w:szCs w:val="20"/>
        </w:rPr>
        <w:t>presidenta de la AEF, Pilar García Ceballos-Zúñiga</w:t>
      </w:r>
      <w:r>
        <w:rPr>
          <w:rFonts w:ascii="Verdana" w:hAnsi="Verdana"/>
          <w:sz w:val="20"/>
          <w:szCs w:val="20"/>
        </w:rPr>
        <w:t xml:space="preserve">. </w:t>
      </w:r>
      <w:r w:rsidRPr="00CB22D2">
        <w:rPr>
          <w:rFonts w:ascii="Verdana" w:hAnsi="Verdana"/>
          <w:b/>
          <w:bCs/>
          <w:sz w:val="20"/>
          <w:szCs w:val="20"/>
        </w:rPr>
        <w:t>“Cuando hablamos de filantropía y mecenazgo hablamos de investigación de enfermedades, de inversión en educación y en cultura, de proyectos medioambientales, de inclusión de personas con discapacidad y de otras muchas actividades que mejoran la vida de la ciudadanía. Las ENL llevan a cabo una actividad social fundamental y necesaria porque contribuyen a cubrir necesidades esenciales no atendidas ni por el sector privado ni por el sector público. Son la expresión de la acción filantrópica, del compromiso, del altruismo y de la sensibilidad individual y social”</w:t>
      </w:r>
      <w:r w:rsidR="00CB22D2">
        <w:rPr>
          <w:rFonts w:ascii="Verdana" w:hAnsi="Verdana"/>
          <w:b/>
          <w:bCs/>
          <w:sz w:val="20"/>
          <w:szCs w:val="20"/>
        </w:rPr>
        <w:t>.</w:t>
      </w:r>
    </w:p>
    <w:p w14:paraId="661341BA" w14:textId="77777777" w:rsidR="00A97F95" w:rsidRPr="00A97F95" w:rsidRDefault="00A97F95" w:rsidP="00A97F9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7F95">
        <w:rPr>
          <w:rFonts w:ascii="Verdana" w:hAnsi="Verdana"/>
          <w:sz w:val="20"/>
          <w:szCs w:val="20"/>
        </w:rPr>
        <w:t>Por su parte,</w:t>
      </w:r>
      <w:r w:rsidRPr="00A97F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Eugènia</w:t>
      </w:r>
      <w:proofErr w:type="spellEnd"/>
      <w:r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 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Bieto</w:t>
      </w:r>
      <w:proofErr w:type="spellEnd"/>
      <w:r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, presidenta de la Coordinadora Catalana de </w:t>
      </w:r>
      <w:proofErr w:type="spellStart"/>
      <w:r w:rsidRPr="00660A35">
        <w:rPr>
          <w:rFonts w:ascii="Verdana" w:hAnsi="Verdana"/>
          <w:b/>
          <w:bCs/>
          <w:color w:val="E6007E"/>
          <w:sz w:val="20"/>
          <w:szCs w:val="20"/>
        </w:rPr>
        <w:t>Fundacions</w:t>
      </w:r>
      <w:proofErr w:type="spellEnd"/>
      <w:r w:rsidRPr="00A97F95">
        <w:rPr>
          <w:rFonts w:ascii="Verdana" w:hAnsi="Verdana"/>
          <w:sz w:val="20"/>
          <w:szCs w:val="20"/>
        </w:rPr>
        <w:t>, apunta que</w:t>
      </w:r>
      <w:r w:rsidRPr="00A97F95">
        <w:rPr>
          <w:rFonts w:ascii="Verdana" w:hAnsi="Verdana"/>
          <w:b/>
          <w:bCs/>
          <w:sz w:val="20"/>
          <w:szCs w:val="20"/>
        </w:rPr>
        <w:t xml:space="preserve"> “después de varios intentos fallidos, se trata de una </w:t>
      </w:r>
      <w:r w:rsidRPr="00A97F95">
        <w:rPr>
          <w:rFonts w:ascii="Verdana" w:hAnsi="Verdana"/>
          <w:b/>
          <w:bCs/>
          <w:sz w:val="20"/>
          <w:szCs w:val="20"/>
        </w:rPr>
        <w:lastRenderedPageBreak/>
        <w:t>gran noticia para el sector fundacional y representa un claro avance, que reconoce e incentiva el compromiso de la sociedad civil con la filantropía, algo que, sin duda contribuirá a incrementar los recursos de las fundaciones y otras entidades del Tercer Sector. Desde la CCF consideramos que es también un premio al esfuerzo titánico llevado a cabo durante muchos años por los principales agentes del sector por demostrar la necesidad de esta reforma, y al gran consenso político logrado”.</w:t>
      </w:r>
    </w:p>
    <w:p w14:paraId="0BCD56CA" w14:textId="77777777" w:rsidR="00A97F95" w:rsidRPr="00A97F95" w:rsidRDefault="00A97F95" w:rsidP="00A97F95">
      <w:pPr>
        <w:spacing w:after="0" w:line="240" w:lineRule="auto"/>
        <w:rPr>
          <w:rFonts w:ascii="Calibri" w:eastAsia="Times New Roman" w:hAnsi="Calibri" w:cs="Calibri"/>
          <w:color w:val="212121"/>
          <w:sz w:val="20"/>
          <w:szCs w:val="20"/>
          <w:lang w:eastAsia="es-ES_tradnl"/>
        </w:rPr>
      </w:pPr>
      <w:r w:rsidRPr="00A97F95">
        <w:rPr>
          <w:rFonts w:ascii="Calibri" w:eastAsia="Times New Roman" w:hAnsi="Calibri" w:cs="Calibri"/>
          <w:color w:val="212121"/>
          <w:sz w:val="20"/>
          <w:szCs w:val="20"/>
          <w:lang w:eastAsia="es-ES_tradnl"/>
        </w:rPr>
        <w:t> </w:t>
      </w:r>
    </w:p>
    <w:p w14:paraId="180736C3" w14:textId="77777777" w:rsidR="00A97F95" w:rsidRDefault="00A97F95" w:rsidP="00342C5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7D67FBB" w14:textId="1881CF9A" w:rsidR="009726BD" w:rsidRDefault="009726BD" w:rsidP="00342C5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“Estamos felices por la respuesta a una reivindicación histórica como es que la legislación en materia de mecenazgo se adapte al siglo XXI, más europea y justa que pone en valor la solidaridad y la participación privada en el interés público”</w:t>
      </w:r>
      <w:r w:rsidRPr="009726BD">
        <w:rPr>
          <w:rFonts w:ascii="Verdana" w:hAnsi="Verdana"/>
          <w:color w:val="000000" w:themeColor="text1"/>
          <w:sz w:val="20"/>
          <w:szCs w:val="20"/>
        </w:rPr>
        <w:t xml:space="preserve">, asegura </w:t>
      </w:r>
      <w:r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Maite Esteve, de la Fundación Catalunya Cultura. </w:t>
      </w:r>
      <w:r>
        <w:rPr>
          <w:rFonts w:ascii="Verdana" w:hAnsi="Verdana"/>
          <w:b/>
          <w:bCs/>
          <w:sz w:val="20"/>
          <w:szCs w:val="20"/>
        </w:rPr>
        <w:t>“Queda camino por recorrer pero celebramos el avance y agradecemos a tantas personas que, desde múltiples plataformas lo han hecho posible”.</w:t>
      </w:r>
    </w:p>
    <w:p w14:paraId="565D39FE" w14:textId="0BE82787" w:rsidR="000541DB" w:rsidRDefault="000541DB" w:rsidP="00342C5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D6823">
        <w:rPr>
          <w:rFonts w:ascii="Verdana" w:hAnsi="Verdana"/>
          <w:b/>
          <w:bCs/>
          <w:sz w:val="20"/>
          <w:szCs w:val="20"/>
        </w:rPr>
        <w:t>“Para el CERMI, en nombre de la discapacidad organizada, es un logro de la sociedad civil organizada, capitaneados por la Asociación Española de Fundaciones</w:t>
      </w:r>
      <w:r w:rsidR="005D6823" w:rsidRPr="005D6823">
        <w:rPr>
          <w:rFonts w:ascii="Verdana" w:hAnsi="Verdana"/>
          <w:b/>
          <w:bCs/>
          <w:sz w:val="20"/>
          <w:szCs w:val="20"/>
        </w:rPr>
        <w:t>”,</w:t>
      </w:r>
      <w:r w:rsidR="005D6823" w:rsidRPr="005D6823">
        <w:rPr>
          <w:rFonts w:ascii="Verdana" w:hAnsi="Verdana"/>
          <w:sz w:val="20"/>
          <w:szCs w:val="20"/>
        </w:rPr>
        <w:t xml:space="preserve"> asegura su </w:t>
      </w:r>
      <w:r w:rsidR="005D6823" w:rsidRPr="00660A35">
        <w:rPr>
          <w:rFonts w:ascii="Verdana" w:hAnsi="Verdana"/>
          <w:b/>
          <w:bCs/>
          <w:color w:val="E6007E"/>
          <w:sz w:val="20"/>
          <w:szCs w:val="20"/>
        </w:rPr>
        <w:t>presidente Luis Cayo</w:t>
      </w:r>
      <w:r w:rsidR="00D51144" w:rsidRPr="00660A35">
        <w:rPr>
          <w:rFonts w:ascii="Verdana" w:hAnsi="Verdana"/>
          <w:b/>
          <w:bCs/>
          <w:color w:val="E6007E"/>
          <w:sz w:val="20"/>
          <w:szCs w:val="20"/>
        </w:rPr>
        <w:t xml:space="preserve"> Pérez Bueno</w:t>
      </w:r>
      <w:r w:rsidR="005D6823" w:rsidRPr="00660A35">
        <w:rPr>
          <w:rFonts w:ascii="Verdana" w:hAnsi="Verdana"/>
          <w:color w:val="E6007E"/>
          <w:sz w:val="20"/>
          <w:szCs w:val="20"/>
        </w:rPr>
        <w:t xml:space="preserve">. </w:t>
      </w:r>
      <w:r w:rsidR="005D6823">
        <w:rPr>
          <w:rFonts w:ascii="Verdana" w:hAnsi="Verdana"/>
          <w:b/>
          <w:bCs/>
          <w:sz w:val="20"/>
          <w:szCs w:val="20"/>
        </w:rPr>
        <w:t>“</w:t>
      </w:r>
      <w:r w:rsidRPr="005D6823">
        <w:rPr>
          <w:rFonts w:ascii="Verdana" w:hAnsi="Verdana"/>
          <w:b/>
          <w:bCs/>
          <w:sz w:val="20"/>
          <w:szCs w:val="20"/>
        </w:rPr>
        <w:t>Es sin duda un avance fiscal a la participación cívica, del que hay que congratularse, ahora toca plantear el gran horizonte de un régimen fiscal de las entidades no lucrativas digno del siglo XXI, ambicioso y transformador, que asiente definitivamente el mecenazgo y la filantropía como un hecho social de primera magnitud”</w:t>
      </w:r>
      <w:r w:rsidR="00DA6154">
        <w:rPr>
          <w:rFonts w:ascii="Verdana" w:hAnsi="Verdana"/>
          <w:b/>
          <w:bCs/>
          <w:sz w:val="20"/>
          <w:szCs w:val="20"/>
        </w:rPr>
        <w:t>.</w:t>
      </w:r>
    </w:p>
    <w:p w14:paraId="71CED308" w14:textId="0F4F40DD" w:rsidR="00DA6154" w:rsidRPr="005D6823" w:rsidRDefault="00DA6154" w:rsidP="00342C5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A6154">
        <w:rPr>
          <w:rFonts w:ascii="Verdana" w:hAnsi="Verdana"/>
          <w:sz w:val="20"/>
          <w:szCs w:val="20"/>
        </w:rPr>
        <w:t xml:space="preserve">El </w:t>
      </w:r>
      <w:r w:rsidRPr="00660A35">
        <w:rPr>
          <w:rFonts w:ascii="Verdana" w:hAnsi="Verdana"/>
          <w:b/>
          <w:bCs/>
          <w:color w:val="E6007E"/>
          <w:sz w:val="20"/>
          <w:szCs w:val="20"/>
        </w:rPr>
        <w:t>presidente de la Plataforma del Tercer Sector, Luciano Poyato</w:t>
      </w:r>
      <w:r w:rsidRPr="00DA6154">
        <w:rPr>
          <w:rFonts w:ascii="Verdana" w:hAnsi="Verdana"/>
          <w:sz w:val="20"/>
          <w:szCs w:val="20"/>
        </w:rPr>
        <w:t xml:space="preserve">, ha felicitado a todas las entidades y organizaciones que han trabajado para hacer posible esta reforma y ha señalado que </w:t>
      </w:r>
      <w:r w:rsidRPr="00DA6154">
        <w:rPr>
          <w:rFonts w:ascii="Verdana" w:hAnsi="Verdana"/>
          <w:b/>
          <w:bCs/>
          <w:sz w:val="20"/>
          <w:szCs w:val="20"/>
        </w:rPr>
        <w:t>“el mecenazgo es una forma de fomentar la cohesión social, logrando una mayor participación privada en actividades de interés general y, por consiguiente, generando, fortaleciendo y articulando más la sociedad civil”.</w:t>
      </w:r>
      <w:r w:rsidRPr="00DA6154">
        <w:rPr>
          <w:rFonts w:ascii="Verdana" w:hAnsi="Verdana"/>
          <w:sz w:val="20"/>
          <w:szCs w:val="20"/>
        </w:rPr>
        <w:t>  </w:t>
      </w:r>
    </w:p>
    <w:p w14:paraId="1C66C24B" w14:textId="77777777" w:rsidR="00342C52" w:rsidRDefault="00342C52" w:rsidP="00342C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64460">
        <w:rPr>
          <w:rFonts w:ascii="Verdana" w:hAnsi="Verdana"/>
          <w:sz w:val="20"/>
          <w:szCs w:val="20"/>
        </w:rPr>
        <w:t>Sólo el gasto de las Entidades no Lucrativas (ENL) en actividades de interés general alcanza casi los 17.000 millones de</w:t>
      </w:r>
      <w:r w:rsidRPr="000E7379">
        <w:rPr>
          <w:rFonts w:ascii="Verdana" w:hAnsi="Verdana"/>
          <w:sz w:val="20"/>
          <w:szCs w:val="20"/>
        </w:rPr>
        <w:t xml:space="preserve"> euros</w:t>
      </w:r>
      <w:r>
        <w:rPr>
          <w:rFonts w:ascii="Verdana" w:hAnsi="Verdana"/>
          <w:sz w:val="20"/>
          <w:szCs w:val="20"/>
        </w:rPr>
        <w:t xml:space="preserve"> y, en </w:t>
      </w:r>
      <w:r w:rsidRPr="000E7379">
        <w:rPr>
          <w:rFonts w:ascii="Verdana" w:hAnsi="Verdana"/>
          <w:sz w:val="20"/>
          <w:szCs w:val="20"/>
        </w:rPr>
        <w:t xml:space="preserve">el caso de las fundaciones, en los últimos 12 años se ha multiplicado por 2,45 el número de beneficiarios finales y directos de sus actividades de interés general. </w:t>
      </w:r>
      <w:r w:rsidRPr="001F64FB">
        <w:rPr>
          <w:rFonts w:ascii="Verdana" w:hAnsi="Verdana"/>
          <w:sz w:val="20"/>
          <w:szCs w:val="20"/>
        </w:rPr>
        <w:t xml:space="preserve">Se estima que el total del sector fundacional en España genera más de 27.000 millones de euros de valor añadido en 2020 (2,4% PIB), y más de </w:t>
      </w:r>
      <w:r>
        <w:rPr>
          <w:rFonts w:ascii="Verdana" w:hAnsi="Verdana"/>
          <w:sz w:val="20"/>
          <w:szCs w:val="20"/>
        </w:rPr>
        <w:t>55</w:t>
      </w:r>
      <w:r w:rsidRPr="001F64FB">
        <w:rPr>
          <w:rFonts w:ascii="Verdana" w:hAnsi="Verdana"/>
          <w:sz w:val="20"/>
          <w:szCs w:val="20"/>
        </w:rPr>
        <w:t xml:space="preserve">0.000 puestos de trabajo, 3,4% del total de puestos </w:t>
      </w:r>
      <w:r w:rsidRPr="001F64FB">
        <w:rPr>
          <w:rFonts w:ascii="Verdana" w:hAnsi="Verdana"/>
          <w:sz w:val="20"/>
          <w:szCs w:val="20"/>
        </w:rPr>
        <w:lastRenderedPageBreak/>
        <w:t>de trabajo de jornada completa de la economía española.</w:t>
      </w:r>
      <w:r>
        <w:rPr>
          <w:rFonts w:ascii="Verdana" w:hAnsi="Verdana"/>
          <w:sz w:val="20"/>
          <w:szCs w:val="20"/>
        </w:rPr>
        <w:t xml:space="preserve"> En </w:t>
      </w:r>
      <w:r w:rsidRPr="00AB2974">
        <w:rPr>
          <w:rFonts w:ascii="Verdana" w:hAnsi="Verdana"/>
          <w:sz w:val="20"/>
          <w:szCs w:val="20"/>
        </w:rPr>
        <w:t>2022 colaboraron con alguna entidad el 39% de la población mayor de 18 años</w:t>
      </w:r>
      <w:r>
        <w:rPr>
          <w:rFonts w:ascii="Verdana" w:hAnsi="Verdana"/>
          <w:sz w:val="20"/>
          <w:szCs w:val="20"/>
        </w:rPr>
        <w:t xml:space="preserve">. </w:t>
      </w:r>
    </w:p>
    <w:p w14:paraId="777AC894" w14:textId="77777777" w:rsidR="00CB22D2" w:rsidRDefault="00342C52" w:rsidP="0041704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aprobación de esta reforma de la ley es el resultado del trabajo colectivo del Tercer Sector, que lleva años reclamándola, y su interlocución con el Congreso y con el Ministerio de Hacienda y Función Pública. La Asociación Española de Fundaciones (AEF) lideró la campaña </w:t>
      </w:r>
      <w:r w:rsidRPr="00660A35">
        <w:rPr>
          <w:rFonts w:ascii="Verdana" w:hAnsi="Verdana"/>
          <w:b/>
          <w:bCs/>
          <w:color w:val="E6007E"/>
          <w:sz w:val="20"/>
          <w:szCs w:val="20"/>
        </w:rPr>
        <w:t>#MecenazgoAquíAhora</w:t>
      </w:r>
      <w:r w:rsidRPr="00660A35">
        <w:rPr>
          <w:rFonts w:ascii="Verdana" w:hAnsi="Verdana"/>
          <w:color w:val="E6007E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una iniciativa respaldada por </w:t>
      </w:r>
      <w:r w:rsidRPr="000E7379">
        <w:rPr>
          <w:rFonts w:ascii="Verdana" w:hAnsi="Verdana"/>
          <w:sz w:val="20"/>
          <w:szCs w:val="20"/>
        </w:rPr>
        <w:t xml:space="preserve">la Asociación Española de </w:t>
      </w:r>
      <w:proofErr w:type="spellStart"/>
      <w:r w:rsidRPr="000E7379">
        <w:rPr>
          <w:rFonts w:ascii="Verdana" w:hAnsi="Verdana"/>
          <w:sz w:val="20"/>
          <w:szCs w:val="20"/>
        </w:rPr>
        <w:t>Fundraising</w:t>
      </w:r>
      <w:proofErr w:type="spellEnd"/>
      <w:r w:rsidRPr="000E7379">
        <w:rPr>
          <w:rFonts w:ascii="Verdana" w:hAnsi="Verdana"/>
          <w:sz w:val="20"/>
          <w:szCs w:val="20"/>
        </w:rPr>
        <w:t xml:space="preserve"> (</w:t>
      </w:r>
      <w:proofErr w:type="spellStart"/>
      <w:r w:rsidRPr="000E7379">
        <w:rPr>
          <w:rFonts w:ascii="Verdana" w:hAnsi="Verdana"/>
          <w:sz w:val="20"/>
          <w:szCs w:val="20"/>
        </w:rPr>
        <w:t>AEFr</w:t>
      </w:r>
      <w:proofErr w:type="spellEnd"/>
      <w:r w:rsidRPr="000E7379">
        <w:rPr>
          <w:rFonts w:ascii="Verdana" w:hAnsi="Verdana"/>
          <w:sz w:val="20"/>
          <w:szCs w:val="20"/>
        </w:rPr>
        <w:t xml:space="preserve">), Asociaciones y Fundaciones Andaluzas (AFA), la Asociación Valenciana de Fundaciones, el Comité Español de Representantes de Personas con Discapacidad (CERMI), la Coordinadora Catalana de </w:t>
      </w:r>
      <w:proofErr w:type="spellStart"/>
      <w:r w:rsidRPr="000E7379">
        <w:rPr>
          <w:rFonts w:ascii="Verdana" w:hAnsi="Verdana"/>
          <w:sz w:val="20"/>
          <w:szCs w:val="20"/>
        </w:rPr>
        <w:t>Fundacions</w:t>
      </w:r>
      <w:proofErr w:type="spellEnd"/>
      <w:r w:rsidRPr="000E7379">
        <w:rPr>
          <w:rFonts w:ascii="Verdana" w:hAnsi="Verdana"/>
          <w:sz w:val="20"/>
          <w:szCs w:val="20"/>
        </w:rPr>
        <w:t xml:space="preserve"> (CCF), la </w:t>
      </w:r>
      <w:proofErr w:type="spellStart"/>
      <w:r w:rsidRPr="000E7379">
        <w:rPr>
          <w:rFonts w:ascii="Verdana" w:hAnsi="Verdana"/>
          <w:sz w:val="20"/>
          <w:szCs w:val="20"/>
        </w:rPr>
        <w:t>Fundació</w:t>
      </w:r>
      <w:proofErr w:type="spellEnd"/>
      <w:r w:rsidRPr="000E7379">
        <w:rPr>
          <w:rFonts w:ascii="Verdana" w:hAnsi="Verdana"/>
          <w:sz w:val="20"/>
          <w:szCs w:val="20"/>
        </w:rPr>
        <w:t xml:space="preserve"> Catalunya Cultura – Plataforma para el Mecenazgo, la Plataforma del Tercer Sector, la Red de Asociaciones de Investigadores y Científicos en el Exterior (RAICEX), </w:t>
      </w:r>
      <w:proofErr w:type="spellStart"/>
      <w:r w:rsidRPr="000E7379">
        <w:rPr>
          <w:rFonts w:ascii="Verdana" w:hAnsi="Verdana"/>
          <w:sz w:val="20"/>
          <w:szCs w:val="20"/>
        </w:rPr>
        <w:t>Spain</w:t>
      </w:r>
      <w:proofErr w:type="spellEnd"/>
      <w:r w:rsidRPr="000E7379">
        <w:rPr>
          <w:rFonts w:ascii="Verdana" w:hAnsi="Verdana"/>
          <w:sz w:val="20"/>
          <w:szCs w:val="20"/>
        </w:rPr>
        <w:t xml:space="preserve"> </w:t>
      </w:r>
      <w:proofErr w:type="spellStart"/>
      <w:r w:rsidRPr="000E7379">
        <w:rPr>
          <w:rFonts w:ascii="Verdana" w:hAnsi="Verdana"/>
          <w:sz w:val="20"/>
          <w:szCs w:val="20"/>
        </w:rPr>
        <w:t>Nab</w:t>
      </w:r>
      <w:proofErr w:type="spellEnd"/>
      <w:r w:rsidRPr="000E7379">
        <w:rPr>
          <w:rFonts w:ascii="Verdana" w:hAnsi="Verdana"/>
          <w:sz w:val="20"/>
          <w:szCs w:val="20"/>
        </w:rPr>
        <w:t xml:space="preserve"> – Consejo Asesor para la Inversión de Impacto y Fundaciones de Navarra. </w:t>
      </w:r>
    </w:p>
    <w:p w14:paraId="0066DFC3" w14:textId="64CBBF67" w:rsidR="00065710" w:rsidRPr="00660A35" w:rsidRDefault="00065710" w:rsidP="0041704F">
      <w:pPr>
        <w:spacing w:line="360" w:lineRule="auto"/>
        <w:jc w:val="both"/>
        <w:rPr>
          <w:rFonts w:ascii="Verdana" w:hAnsi="Verdana"/>
          <w:b/>
          <w:bCs/>
          <w:color w:val="E6007E"/>
          <w:sz w:val="20"/>
          <w:szCs w:val="20"/>
        </w:rPr>
      </w:pPr>
      <w:r w:rsidRPr="00660A35">
        <w:rPr>
          <w:rFonts w:ascii="Verdana" w:hAnsi="Verdana"/>
          <w:b/>
          <w:bCs/>
          <w:color w:val="E6007E"/>
          <w:sz w:val="20"/>
          <w:szCs w:val="20"/>
        </w:rPr>
        <w:t>Organizaciones que apoyan esta nota de prensa</w:t>
      </w:r>
    </w:p>
    <w:p w14:paraId="5FEE35DC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Asociación Española de Fundaciones (AEF)</w:t>
      </w:r>
    </w:p>
    <w:p w14:paraId="5FF8328C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 xml:space="preserve">Asociación Española de </w:t>
      </w:r>
      <w:proofErr w:type="spellStart"/>
      <w:r w:rsidRPr="00065710">
        <w:rPr>
          <w:rFonts w:ascii="Verdana" w:hAnsi="Verdana"/>
          <w:sz w:val="20"/>
          <w:szCs w:val="20"/>
        </w:rPr>
        <w:t>Fundraising</w:t>
      </w:r>
      <w:proofErr w:type="spellEnd"/>
      <w:r w:rsidRPr="00065710">
        <w:rPr>
          <w:rFonts w:ascii="Verdana" w:hAnsi="Verdana"/>
          <w:sz w:val="20"/>
          <w:szCs w:val="20"/>
        </w:rPr>
        <w:t xml:space="preserve"> (</w:t>
      </w:r>
      <w:proofErr w:type="spellStart"/>
      <w:r w:rsidRPr="00065710">
        <w:rPr>
          <w:rFonts w:ascii="Verdana" w:hAnsi="Verdana"/>
          <w:sz w:val="20"/>
          <w:szCs w:val="20"/>
        </w:rPr>
        <w:t>AEFr</w:t>
      </w:r>
      <w:proofErr w:type="spellEnd"/>
      <w:r w:rsidRPr="00065710">
        <w:rPr>
          <w:rFonts w:ascii="Verdana" w:hAnsi="Verdana"/>
          <w:sz w:val="20"/>
          <w:szCs w:val="20"/>
        </w:rPr>
        <w:t>)</w:t>
      </w:r>
    </w:p>
    <w:p w14:paraId="00C01FB1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Asociaciones y Fundaciones Andaluzas (AFA)</w:t>
      </w:r>
    </w:p>
    <w:p w14:paraId="35F086B2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Asociación Valenciana de Fundaciones</w:t>
      </w:r>
    </w:p>
    <w:p w14:paraId="51B2CD3A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Comité Español de Representantes de Personas con Discapacidad (CERMI)</w:t>
      </w:r>
    </w:p>
    <w:p w14:paraId="6E03FD9D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 xml:space="preserve">Coordinadora Catalana de </w:t>
      </w:r>
      <w:proofErr w:type="spellStart"/>
      <w:r w:rsidRPr="00065710">
        <w:rPr>
          <w:rFonts w:ascii="Verdana" w:hAnsi="Verdana"/>
          <w:sz w:val="20"/>
          <w:szCs w:val="20"/>
        </w:rPr>
        <w:t>Fundacions</w:t>
      </w:r>
      <w:proofErr w:type="spellEnd"/>
      <w:r w:rsidRPr="00065710">
        <w:rPr>
          <w:rFonts w:ascii="Verdana" w:hAnsi="Verdana"/>
          <w:sz w:val="20"/>
          <w:szCs w:val="20"/>
        </w:rPr>
        <w:t xml:space="preserve"> (CCF)</w:t>
      </w:r>
    </w:p>
    <w:p w14:paraId="5931A1D6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Fundació Catalunya Cultura – Plataforma para el Mecenazgo</w:t>
      </w:r>
    </w:p>
    <w:p w14:paraId="2F3052DA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Plataforma del Tercer Sector</w:t>
      </w:r>
    </w:p>
    <w:p w14:paraId="28EB163A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Red de Asociaciones de Investigadores y Científicos en el Exterior (RAICEX)</w:t>
      </w:r>
    </w:p>
    <w:p w14:paraId="3D4EF428" w14:textId="77777777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065710">
        <w:rPr>
          <w:rFonts w:ascii="Verdana" w:hAnsi="Verdana"/>
          <w:sz w:val="20"/>
          <w:szCs w:val="20"/>
        </w:rPr>
        <w:t>Spain</w:t>
      </w:r>
      <w:proofErr w:type="spellEnd"/>
      <w:r w:rsidRPr="00065710">
        <w:rPr>
          <w:rFonts w:ascii="Verdana" w:hAnsi="Verdana"/>
          <w:sz w:val="20"/>
          <w:szCs w:val="20"/>
        </w:rPr>
        <w:t xml:space="preserve"> </w:t>
      </w:r>
      <w:proofErr w:type="spellStart"/>
      <w:r w:rsidRPr="00065710">
        <w:rPr>
          <w:rFonts w:ascii="Verdana" w:hAnsi="Verdana"/>
          <w:sz w:val="20"/>
          <w:szCs w:val="20"/>
        </w:rPr>
        <w:t>Nab</w:t>
      </w:r>
      <w:proofErr w:type="spellEnd"/>
      <w:r w:rsidRPr="00065710">
        <w:rPr>
          <w:rFonts w:ascii="Verdana" w:hAnsi="Verdana"/>
          <w:sz w:val="20"/>
          <w:szCs w:val="20"/>
        </w:rPr>
        <w:t xml:space="preserve"> – Consejo Asesor para la Inversión de Impacto</w:t>
      </w:r>
    </w:p>
    <w:p w14:paraId="703F2730" w14:textId="34690E1B" w:rsidR="00065710" w:rsidRPr="00065710" w:rsidRDefault="00065710" w:rsidP="0006571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65710">
        <w:rPr>
          <w:rFonts w:ascii="Verdana" w:hAnsi="Verdana"/>
          <w:sz w:val="20"/>
          <w:szCs w:val="20"/>
        </w:rPr>
        <w:t>Fundaciones de Navarra</w:t>
      </w:r>
    </w:p>
    <w:p w14:paraId="2B1F82CC" w14:textId="60E87B2B" w:rsidR="00660A35" w:rsidRDefault="00660A35" w:rsidP="00660A35">
      <w:pPr>
        <w:spacing w:after="0" w:line="276" w:lineRule="auto"/>
        <w:ind w:right="-1"/>
        <w:jc w:val="both"/>
        <w:rPr>
          <w:rFonts w:ascii="Verdana" w:hAnsi="Verdana" w:cs="Arial"/>
          <w:b/>
          <w:noProof/>
          <w:color w:val="244061"/>
          <w:spacing w:val="-10"/>
          <w:sz w:val="20"/>
          <w:szCs w:val="20"/>
        </w:rPr>
      </w:pPr>
      <w:r>
        <w:rPr>
          <w:rFonts w:ascii="Verdana" w:hAnsi="Verdana" w:cs="Arial"/>
          <w:b/>
          <w:noProof/>
          <w:color w:val="244061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A16C8" wp14:editId="1A6ABE95">
                <wp:simplePos x="0" y="0"/>
                <wp:positionH relativeFrom="column">
                  <wp:posOffset>1403985</wp:posOffset>
                </wp:positionH>
                <wp:positionV relativeFrom="paragraph">
                  <wp:posOffset>27305</wp:posOffset>
                </wp:positionV>
                <wp:extent cx="2453640" cy="0"/>
                <wp:effectExtent l="0" t="0" r="0" b="0"/>
                <wp:wrapNone/>
                <wp:docPr id="117217263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007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71EF1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2.15pt" to="303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" strokecolor="#e6007e" strokeweight=".5pt">
                <v:stroke joinstyle="miter"/>
              </v:line>
            </w:pict>
          </mc:Fallback>
        </mc:AlternateContent>
      </w:r>
    </w:p>
    <w:p w14:paraId="2B16BFD0" w14:textId="6277DB28" w:rsidR="00660A35" w:rsidRPr="00660A35" w:rsidRDefault="006D34ED" w:rsidP="00660A35">
      <w:pPr>
        <w:spacing w:after="0" w:line="276" w:lineRule="auto"/>
        <w:ind w:right="-1"/>
        <w:jc w:val="both"/>
        <w:rPr>
          <w:rFonts w:ascii="Verdana" w:hAnsi="Verdana" w:cs="Arial"/>
          <w:b/>
          <w:color w:val="244061"/>
          <w:spacing w:val="-10"/>
          <w:sz w:val="20"/>
          <w:szCs w:val="20"/>
        </w:rPr>
      </w:pPr>
      <w:r w:rsidRPr="00660A35">
        <w:rPr>
          <w:rFonts w:ascii="Verdana" w:hAnsi="Verdana" w:cs="Arial"/>
          <w:b/>
          <w:color w:val="E6007E"/>
          <w:spacing w:val="-10"/>
          <w:sz w:val="20"/>
          <w:szCs w:val="20"/>
        </w:rPr>
        <w:t xml:space="preserve">Sobre la </w:t>
      </w:r>
      <w:proofErr w:type="spellStart"/>
      <w:r w:rsidRPr="00660A35">
        <w:rPr>
          <w:rFonts w:ascii="Verdana" w:hAnsi="Verdana" w:cs="Arial"/>
          <w:b/>
          <w:color w:val="E6007E"/>
          <w:spacing w:val="-10"/>
          <w:sz w:val="20"/>
          <w:szCs w:val="20"/>
        </w:rPr>
        <w:t>AEF</w:t>
      </w:r>
      <w:r w:rsidR="00660A35" w:rsidRPr="00660A35">
        <w:rPr>
          <w:rFonts w:ascii="Verdana" w:hAnsi="Verdana" w:cs="Arial"/>
          <w:b/>
          <w:color w:val="E6007E"/>
          <w:spacing w:val="-10"/>
          <w:sz w:val="20"/>
          <w:szCs w:val="20"/>
        </w:rPr>
        <w:t>r</w:t>
      </w:r>
      <w:proofErr w:type="spellEnd"/>
    </w:p>
    <w:p w14:paraId="22C94D94" w14:textId="77777777" w:rsidR="00660A35" w:rsidRPr="00821852" w:rsidRDefault="00660A35" w:rsidP="00660A3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La </w:t>
      </w:r>
      <w:hyperlink r:id="rId12" w:tgtFrame="_blank" w:history="1">
        <w:r w:rsidRPr="00821852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</w:rPr>
          <w:t>Asociación Española de </w:t>
        </w:r>
        <w:proofErr w:type="spellStart"/>
      </w:hyperlink>
      <w:hyperlink r:id="rId13" w:tgtFrame="_blank" w:history="1">
        <w:r w:rsidRPr="00821852">
          <w:rPr>
            <w:rStyle w:val="nfasis"/>
            <w:rFonts w:asciiTheme="minorHAnsi" w:hAnsiTheme="minorHAnsi" w:cstheme="minorHAnsi"/>
            <w:color w:val="000000" w:themeColor="text1"/>
            <w:sz w:val="22"/>
            <w:szCs w:val="22"/>
          </w:rPr>
          <w:t>Fundraising</w:t>
        </w:r>
        <w:proofErr w:type="spellEnd"/>
      </w:hyperlink>
      <w:hyperlink r:id="rId14" w:tgtFrame="_blank" w:history="1">
        <w:r w:rsidRPr="00821852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</w:rPr>
          <w:t> (</w:t>
        </w:r>
        <w:proofErr w:type="spellStart"/>
        <w:r w:rsidRPr="00821852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</w:rPr>
          <w:t>AEFr</w:t>
        </w:r>
        <w:proofErr w:type="spellEnd"/>
        <w:r w:rsidRPr="00821852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</w:rPr>
          <w:t>)</w:t>
        </w:r>
      </w:hyperlink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 tiene por objeto “crear una sociedad española más filantrópica gracias a un </w:t>
      </w:r>
      <w:proofErr w:type="spellStart"/>
      <w:r w:rsidRPr="00821852">
        <w:rPr>
          <w:rStyle w:val="nfasis"/>
          <w:rFonts w:asciiTheme="minorHAnsi" w:hAnsiTheme="minorHAnsi" w:cstheme="minorHAnsi"/>
          <w:color w:val="000000" w:themeColor="text1"/>
          <w:sz w:val="22"/>
          <w:szCs w:val="22"/>
        </w:rPr>
        <w:t>fundraising</w:t>
      </w:r>
      <w:proofErr w:type="spellEnd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 ético y profesional basado en buenas prácticas, así como contribuir al éxito del sector de la captación de fondos mediante su profesionalización”.</w:t>
      </w:r>
    </w:p>
    <w:p w14:paraId="1FB1F764" w14:textId="77777777" w:rsidR="00660A35" w:rsidRPr="00821852" w:rsidRDefault="00660A35" w:rsidP="00660A3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Para ello desarrolla actividades como formación, información y asesoramiento a las Entidades No Lucrativas (ENL) y a los profesionales, desarrollo de estándares de calidad y criterios éticos en la práctica de captación de fondos o promoción de la investigación, el intercambio y la evaluación de experiencias entre profesionales y organizaciones, entre otros.</w:t>
      </w:r>
    </w:p>
    <w:p w14:paraId="096C7BE4" w14:textId="3638DA72" w:rsidR="00660A35" w:rsidRPr="00821852" w:rsidRDefault="00660A35" w:rsidP="00660A3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En la actualidad 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organizaciones forman parte de la </w:t>
      </w:r>
      <w:proofErr w:type="spellStart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AEFr</w:t>
      </w:r>
      <w:proofErr w:type="spellEnd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entre ellas: Cruz Roja, Cáritas, Fundación Pasqual Maragall, Greenpeace, Amnistía Internacional, Médicos Sin Fronteras, </w:t>
      </w:r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Unicef, Amigos de los Mayores, Asociación Española Contra el Cáncer, </w:t>
      </w:r>
      <w:proofErr w:type="spellStart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Fundació</w:t>
      </w:r>
      <w:proofErr w:type="spellEnd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Sant Joan de </w:t>
      </w:r>
      <w:proofErr w:type="spellStart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Déu</w:t>
      </w:r>
      <w:proofErr w:type="spellEnd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Fundación Josep Carreras, Manos Unidas, </w:t>
      </w:r>
      <w:proofErr w:type="spellStart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Anesvad</w:t>
      </w:r>
      <w:proofErr w:type="spellEnd"/>
      <w:r w:rsidRPr="00821852">
        <w:rPr>
          <w:rFonts w:asciiTheme="minorHAnsi" w:hAnsiTheme="minorHAnsi" w:cstheme="minorHAnsi"/>
          <w:color w:val="000000" w:themeColor="text1"/>
          <w:sz w:val="22"/>
          <w:szCs w:val="22"/>
        </w:rPr>
        <w:t>, Acción contra el Hambre, Oxfam Intermón o Educo.</w:t>
      </w:r>
    </w:p>
    <w:p w14:paraId="21D99506" w14:textId="77777777" w:rsidR="00660A35" w:rsidRPr="004278B6" w:rsidRDefault="00660A35" w:rsidP="00660A35">
      <w:pPr>
        <w:spacing w:line="276" w:lineRule="auto"/>
        <w:jc w:val="both"/>
        <w:rPr>
          <w:rFonts w:ascii="Verdana" w:hAnsi="Verdana" w:cs="Arial"/>
          <w:bCs/>
          <w:spacing w:val="-10"/>
          <w:sz w:val="20"/>
          <w:szCs w:val="20"/>
        </w:rPr>
      </w:pPr>
    </w:p>
    <w:p w14:paraId="3336CDB0" w14:textId="77777777" w:rsidR="00660A35" w:rsidRPr="005B5360" w:rsidRDefault="00660A35" w:rsidP="00660A35">
      <w:pPr>
        <w:spacing w:after="0" w:line="276" w:lineRule="auto"/>
        <w:ind w:right="340"/>
        <w:jc w:val="both"/>
        <w:rPr>
          <w:rFonts w:ascii="Verdana" w:hAnsi="Verdana" w:cs="Arial"/>
          <w:bCs/>
          <w:spacing w:val="-10"/>
          <w:sz w:val="20"/>
          <w:szCs w:val="20"/>
        </w:rPr>
      </w:pPr>
    </w:p>
    <w:p w14:paraId="587DAFDA" w14:textId="77777777" w:rsidR="00660A35" w:rsidRPr="005B5360" w:rsidRDefault="00660A35" w:rsidP="00660A35">
      <w:pPr>
        <w:pStyle w:val="Encabezado"/>
        <w:pBdr>
          <w:top w:val="single" w:sz="12" w:space="1" w:color="1F3864" w:themeColor="accent1" w:themeShade="80"/>
          <w:left w:val="single" w:sz="12" w:space="4" w:color="1F3864" w:themeColor="accent1" w:themeShade="80"/>
          <w:bottom w:val="single" w:sz="12" w:space="1" w:color="1F3864" w:themeColor="accent1" w:themeShade="80"/>
          <w:right w:val="single" w:sz="12" w:space="24" w:color="1F3864" w:themeColor="accent1" w:themeShade="80"/>
        </w:pBdr>
        <w:tabs>
          <w:tab w:val="left" w:pos="426"/>
        </w:tabs>
        <w:spacing w:after="120" w:line="276" w:lineRule="auto"/>
        <w:ind w:left="284" w:right="340"/>
        <w:rPr>
          <w:rFonts w:ascii="Verdana" w:hAnsi="Verdana" w:cs="Arial"/>
          <w:b/>
          <w:spacing w:val="-10"/>
          <w:sz w:val="20"/>
          <w:szCs w:val="20"/>
        </w:rPr>
      </w:pPr>
      <w:r w:rsidRPr="005B5360">
        <w:rPr>
          <w:rFonts w:ascii="Verdana" w:hAnsi="Verdana" w:cs="Arial"/>
          <w:b/>
          <w:spacing w:val="-20"/>
          <w:sz w:val="20"/>
          <w:szCs w:val="20"/>
        </w:rPr>
        <w:t xml:space="preserve">Contacto </w:t>
      </w:r>
      <w:r w:rsidRPr="005B5360">
        <w:rPr>
          <w:rFonts w:ascii="Verdana" w:hAnsi="Verdana" w:cs="Arial"/>
          <w:b/>
          <w:spacing w:val="-10"/>
          <w:sz w:val="20"/>
          <w:szCs w:val="20"/>
        </w:rPr>
        <w:t xml:space="preserve"> </w:t>
      </w:r>
    </w:p>
    <w:p w14:paraId="68D03302" w14:textId="77777777" w:rsidR="00660A35" w:rsidRPr="005B5360" w:rsidRDefault="00660A35" w:rsidP="00660A35">
      <w:pPr>
        <w:pStyle w:val="Encabezado"/>
        <w:pBdr>
          <w:top w:val="single" w:sz="12" w:space="1" w:color="1F3864" w:themeColor="accent1" w:themeShade="80"/>
          <w:left w:val="single" w:sz="12" w:space="4" w:color="1F3864" w:themeColor="accent1" w:themeShade="80"/>
          <w:bottom w:val="single" w:sz="12" w:space="1" w:color="1F3864" w:themeColor="accent1" w:themeShade="80"/>
          <w:right w:val="single" w:sz="12" w:space="24" w:color="1F3864" w:themeColor="accent1" w:themeShade="80"/>
        </w:pBdr>
        <w:tabs>
          <w:tab w:val="left" w:pos="426"/>
        </w:tabs>
        <w:spacing w:after="120" w:line="276" w:lineRule="auto"/>
        <w:ind w:left="284" w:right="340"/>
        <w:rPr>
          <w:rFonts w:ascii="Verdana" w:hAnsi="Verdana" w:cs="Arial"/>
          <w:spacing w:val="-10"/>
          <w:sz w:val="20"/>
          <w:szCs w:val="20"/>
          <w:u w:val="single"/>
        </w:rPr>
      </w:pPr>
      <w:proofErr w:type="spellStart"/>
      <w:r w:rsidRPr="005B5360">
        <w:rPr>
          <w:rFonts w:ascii="Verdana" w:hAnsi="Verdana" w:cs="Arial"/>
          <w:spacing w:val="-10"/>
          <w:sz w:val="20"/>
          <w:szCs w:val="20"/>
          <w:u w:val="single"/>
        </w:rPr>
        <w:t>AEF</w:t>
      </w:r>
      <w:r>
        <w:rPr>
          <w:rFonts w:ascii="Verdana" w:hAnsi="Verdana" w:cs="Arial"/>
          <w:spacing w:val="-10"/>
          <w:sz w:val="20"/>
          <w:szCs w:val="20"/>
          <w:u w:val="single"/>
        </w:rPr>
        <w:t>r</w:t>
      </w:r>
      <w:proofErr w:type="spellEnd"/>
    </w:p>
    <w:p w14:paraId="1641B463" w14:textId="77777777" w:rsidR="00660A35" w:rsidRPr="005B5360" w:rsidRDefault="00660A35" w:rsidP="00660A35">
      <w:pPr>
        <w:pStyle w:val="Encabezado"/>
        <w:pBdr>
          <w:top w:val="single" w:sz="12" w:space="1" w:color="1F3864" w:themeColor="accent1" w:themeShade="80"/>
          <w:left w:val="single" w:sz="12" w:space="4" w:color="1F3864" w:themeColor="accent1" w:themeShade="80"/>
          <w:bottom w:val="single" w:sz="12" w:space="1" w:color="1F3864" w:themeColor="accent1" w:themeShade="80"/>
          <w:right w:val="single" w:sz="12" w:space="24" w:color="1F3864" w:themeColor="accent1" w:themeShade="80"/>
        </w:pBdr>
        <w:tabs>
          <w:tab w:val="left" w:pos="426"/>
        </w:tabs>
        <w:spacing w:after="120" w:line="276" w:lineRule="auto"/>
        <w:ind w:left="284" w:right="340"/>
        <w:rPr>
          <w:rFonts w:ascii="Verdana" w:hAnsi="Verdana" w:cs="Arial"/>
          <w:spacing w:val="-10"/>
          <w:sz w:val="20"/>
          <w:szCs w:val="20"/>
        </w:rPr>
      </w:pPr>
      <w:r>
        <w:rPr>
          <w:rFonts w:ascii="Verdana" w:hAnsi="Verdana" w:cs="Arial"/>
          <w:spacing w:val="-10"/>
          <w:sz w:val="20"/>
          <w:szCs w:val="20"/>
        </w:rPr>
        <w:t xml:space="preserve">Fernando Morón </w:t>
      </w:r>
      <w:proofErr w:type="gramStart"/>
      <w:r>
        <w:rPr>
          <w:rFonts w:ascii="Verdana" w:hAnsi="Verdana" w:cs="Arial"/>
          <w:spacing w:val="-10"/>
          <w:sz w:val="20"/>
          <w:szCs w:val="20"/>
        </w:rPr>
        <w:t xml:space="preserve">Limón </w:t>
      </w:r>
      <w:r w:rsidRPr="005B5360">
        <w:rPr>
          <w:rFonts w:ascii="Verdana" w:hAnsi="Verdana" w:cs="Arial"/>
          <w:spacing w:val="-10"/>
          <w:sz w:val="20"/>
          <w:szCs w:val="20"/>
        </w:rPr>
        <w:t xml:space="preserve"> </w:t>
      </w:r>
      <w:r>
        <w:rPr>
          <w:rFonts w:ascii="Verdana" w:hAnsi="Verdana" w:cs="Arial"/>
          <w:spacing w:val="-10"/>
          <w:sz w:val="20"/>
          <w:szCs w:val="20"/>
        </w:rPr>
        <w:t>-</w:t>
      </w:r>
      <w:proofErr w:type="gramEnd"/>
      <w:r>
        <w:rPr>
          <w:rFonts w:ascii="Verdana" w:hAnsi="Verdana" w:cs="Arial"/>
          <w:spacing w:val="-10"/>
          <w:sz w:val="20"/>
          <w:szCs w:val="20"/>
        </w:rPr>
        <w:t xml:space="preserve"> fmoron@aefundraising.org / 646 02 45 13</w:t>
      </w:r>
    </w:p>
    <w:p w14:paraId="71B1F994" w14:textId="77777777" w:rsidR="00660A35" w:rsidRPr="005B5360" w:rsidRDefault="00660A35" w:rsidP="00660A35">
      <w:pPr>
        <w:spacing w:line="276" w:lineRule="auto"/>
        <w:rPr>
          <w:rFonts w:ascii="Verdana" w:hAnsi="Verdana"/>
          <w:sz w:val="20"/>
          <w:szCs w:val="20"/>
        </w:rPr>
      </w:pPr>
      <w:r w:rsidRPr="005B5360">
        <w:rPr>
          <w:rFonts w:ascii="Verdana" w:hAnsi="Verdana"/>
          <w:sz w:val="20"/>
          <w:szCs w:val="20"/>
        </w:rPr>
        <w:t xml:space="preserve"> </w:t>
      </w:r>
    </w:p>
    <w:p w14:paraId="3CDF64FF" w14:textId="4919AE95" w:rsidR="00DD07DB" w:rsidRPr="005B5360" w:rsidRDefault="00DD07DB" w:rsidP="00B7018F">
      <w:pPr>
        <w:spacing w:line="276" w:lineRule="auto"/>
        <w:rPr>
          <w:rFonts w:ascii="Verdana" w:hAnsi="Verdana"/>
          <w:sz w:val="20"/>
          <w:szCs w:val="20"/>
        </w:rPr>
      </w:pPr>
      <w:r w:rsidRPr="005B5360">
        <w:rPr>
          <w:rFonts w:ascii="Verdana" w:hAnsi="Verdana"/>
          <w:sz w:val="20"/>
          <w:szCs w:val="20"/>
        </w:rPr>
        <w:t xml:space="preserve"> </w:t>
      </w:r>
    </w:p>
    <w:sectPr w:rsidR="00DD07DB" w:rsidRPr="005B5360" w:rsidSect="00660A35">
      <w:headerReference w:type="defaul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F6DF" w14:textId="77777777" w:rsidR="003733A6" w:rsidRDefault="003733A6">
      <w:pPr>
        <w:spacing w:after="0" w:line="240" w:lineRule="auto"/>
      </w:pPr>
      <w:r>
        <w:separator/>
      </w:r>
    </w:p>
  </w:endnote>
  <w:endnote w:type="continuationSeparator" w:id="0">
    <w:p w14:paraId="27A78CC8" w14:textId="77777777" w:rsidR="003733A6" w:rsidRDefault="003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AE16" w14:textId="77777777" w:rsidR="003733A6" w:rsidRDefault="003733A6">
      <w:pPr>
        <w:spacing w:after="0" w:line="240" w:lineRule="auto"/>
      </w:pPr>
      <w:r>
        <w:separator/>
      </w:r>
    </w:p>
  </w:footnote>
  <w:footnote w:type="continuationSeparator" w:id="0">
    <w:p w14:paraId="75BD6FBE" w14:textId="77777777" w:rsidR="003733A6" w:rsidRDefault="0037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5B8F" w14:textId="06EE92A2" w:rsidR="00551194" w:rsidRDefault="00660A35" w:rsidP="00551194">
    <w:pPr>
      <w:pStyle w:val="Encabezado"/>
      <w:pBdr>
        <w:bottom w:val="single" w:sz="12" w:space="0" w:color="1F3864" w:themeColor="accent1" w:themeShade="80"/>
      </w:pBdr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97BFD5D" wp14:editId="18859D53">
          <wp:simplePos x="0" y="0"/>
          <wp:positionH relativeFrom="column">
            <wp:posOffset>4612005</wp:posOffset>
          </wp:positionH>
          <wp:positionV relativeFrom="paragraph">
            <wp:posOffset>-244475</wp:posOffset>
          </wp:positionV>
          <wp:extent cx="1577340" cy="679607"/>
          <wp:effectExtent l="0" t="0" r="0" b="0"/>
          <wp:wrapNone/>
          <wp:docPr id="4685104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510419" name="Imagen 468510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7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F7343" w14:textId="77777777" w:rsidR="00551194" w:rsidRPr="00660A35" w:rsidRDefault="00551194" w:rsidP="00551194">
    <w:pPr>
      <w:pStyle w:val="Encabezado"/>
      <w:pBdr>
        <w:bottom w:val="single" w:sz="12" w:space="0" w:color="1F3864" w:themeColor="accent1" w:themeShade="80"/>
      </w:pBdr>
      <w:rPr>
        <w:rFonts w:ascii="Verdana" w:hAnsi="Verdana"/>
        <w:b/>
        <w:color w:val="E6007E"/>
        <w:sz w:val="16"/>
        <w:szCs w:val="16"/>
      </w:rPr>
    </w:pPr>
    <w:r w:rsidRPr="00660A35">
      <w:rPr>
        <w:rFonts w:ascii="Verdana" w:hAnsi="Verdana"/>
        <w:b/>
        <w:color w:val="E6007E"/>
        <w:sz w:val="28"/>
        <w:szCs w:val="28"/>
      </w:rPr>
      <w:t xml:space="preserve">Nota de prensa </w:t>
    </w:r>
  </w:p>
  <w:p w14:paraId="5D05A3FC" w14:textId="77777777" w:rsidR="00551194" w:rsidRPr="00FD41BB" w:rsidRDefault="00551194" w:rsidP="00551194">
    <w:pPr>
      <w:pStyle w:val="Encabezado"/>
      <w:pBdr>
        <w:bottom w:val="single" w:sz="12" w:space="0" w:color="1F3864" w:themeColor="accent1" w:themeShade="80"/>
      </w:pBdr>
      <w:rPr>
        <w:rFonts w:ascii="Verdana" w:hAnsi="Verdana"/>
        <w:b/>
        <w:sz w:val="16"/>
        <w:szCs w:val="16"/>
      </w:rPr>
    </w:pPr>
    <w:r w:rsidRPr="00FD41BB">
      <w:rPr>
        <w:rFonts w:ascii="Verdana" w:hAnsi="Verdana"/>
        <w:b/>
        <w:sz w:val="16"/>
        <w:szCs w:val="16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7A1"/>
    <w:multiLevelType w:val="multilevel"/>
    <w:tmpl w:val="AC9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2908"/>
    <w:multiLevelType w:val="multilevel"/>
    <w:tmpl w:val="9A2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55DD5"/>
    <w:multiLevelType w:val="hybridMultilevel"/>
    <w:tmpl w:val="F4B2E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89D"/>
    <w:multiLevelType w:val="hybridMultilevel"/>
    <w:tmpl w:val="44B665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3416"/>
    <w:multiLevelType w:val="multilevel"/>
    <w:tmpl w:val="D2A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F3716"/>
    <w:multiLevelType w:val="hybridMultilevel"/>
    <w:tmpl w:val="F880F4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11CAB"/>
    <w:multiLevelType w:val="hybridMultilevel"/>
    <w:tmpl w:val="ADD2CE6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973D5"/>
    <w:multiLevelType w:val="multilevel"/>
    <w:tmpl w:val="E94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F1EB5"/>
    <w:multiLevelType w:val="multilevel"/>
    <w:tmpl w:val="597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13C06"/>
    <w:multiLevelType w:val="hybridMultilevel"/>
    <w:tmpl w:val="CD8AB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AE8"/>
    <w:multiLevelType w:val="hybridMultilevel"/>
    <w:tmpl w:val="F13067F4"/>
    <w:lvl w:ilvl="0" w:tplc="0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28E7D86"/>
    <w:multiLevelType w:val="multilevel"/>
    <w:tmpl w:val="890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71E78"/>
    <w:multiLevelType w:val="multilevel"/>
    <w:tmpl w:val="22A8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BE7817"/>
    <w:multiLevelType w:val="hybridMultilevel"/>
    <w:tmpl w:val="D5129B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603BB"/>
    <w:multiLevelType w:val="hybridMultilevel"/>
    <w:tmpl w:val="833E49F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B7D61"/>
    <w:multiLevelType w:val="multilevel"/>
    <w:tmpl w:val="8F1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571D6"/>
    <w:multiLevelType w:val="hybridMultilevel"/>
    <w:tmpl w:val="904E7CB0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374DA"/>
    <w:multiLevelType w:val="hybridMultilevel"/>
    <w:tmpl w:val="2CB8007E"/>
    <w:lvl w:ilvl="0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6C0E07"/>
    <w:multiLevelType w:val="multilevel"/>
    <w:tmpl w:val="C66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E7A9C"/>
    <w:multiLevelType w:val="multilevel"/>
    <w:tmpl w:val="EC5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E0A0C"/>
    <w:multiLevelType w:val="multilevel"/>
    <w:tmpl w:val="46F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A10E6"/>
    <w:multiLevelType w:val="hybridMultilevel"/>
    <w:tmpl w:val="F1FE45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43C0"/>
    <w:multiLevelType w:val="hybridMultilevel"/>
    <w:tmpl w:val="D6FE897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F1025"/>
    <w:multiLevelType w:val="hybridMultilevel"/>
    <w:tmpl w:val="EC3E8BDE"/>
    <w:lvl w:ilvl="0" w:tplc="8898CE88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011C"/>
    <w:multiLevelType w:val="multilevel"/>
    <w:tmpl w:val="A06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C71E1"/>
    <w:multiLevelType w:val="hybridMultilevel"/>
    <w:tmpl w:val="57A8232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F63EE"/>
    <w:multiLevelType w:val="hybridMultilevel"/>
    <w:tmpl w:val="4B7092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936477">
    <w:abstractNumId w:val="23"/>
  </w:num>
  <w:num w:numId="2" w16cid:durableId="1192955833">
    <w:abstractNumId w:val="10"/>
  </w:num>
  <w:num w:numId="3" w16cid:durableId="245261112">
    <w:abstractNumId w:val="0"/>
  </w:num>
  <w:num w:numId="4" w16cid:durableId="1372925804">
    <w:abstractNumId w:val="20"/>
  </w:num>
  <w:num w:numId="5" w16cid:durableId="1731269545">
    <w:abstractNumId w:val="25"/>
  </w:num>
  <w:num w:numId="6" w16cid:durableId="557018108">
    <w:abstractNumId w:val="13"/>
  </w:num>
  <w:num w:numId="7" w16cid:durableId="1000504639">
    <w:abstractNumId w:val="24"/>
  </w:num>
  <w:num w:numId="8" w16cid:durableId="1555695743">
    <w:abstractNumId w:val="2"/>
  </w:num>
  <w:num w:numId="9" w16cid:durableId="2059010413">
    <w:abstractNumId w:val="18"/>
  </w:num>
  <w:num w:numId="10" w16cid:durableId="871497734">
    <w:abstractNumId w:val="11"/>
  </w:num>
  <w:num w:numId="11" w16cid:durableId="1075395961">
    <w:abstractNumId w:val="7"/>
  </w:num>
  <w:num w:numId="12" w16cid:durableId="173374826">
    <w:abstractNumId w:val="4"/>
  </w:num>
  <w:num w:numId="13" w16cid:durableId="1089696931">
    <w:abstractNumId w:val="22"/>
  </w:num>
  <w:num w:numId="14" w16cid:durableId="1068964494">
    <w:abstractNumId w:val="5"/>
  </w:num>
  <w:num w:numId="15" w16cid:durableId="440496453">
    <w:abstractNumId w:val="14"/>
  </w:num>
  <w:num w:numId="16" w16cid:durableId="824202858">
    <w:abstractNumId w:val="6"/>
  </w:num>
  <w:num w:numId="17" w16cid:durableId="1117070084">
    <w:abstractNumId w:val="17"/>
  </w:num>
  <w:num w:numId="18" w16cid:durableId="298806196">
    <w:abstractNumId w:val="15"/>
  </w:num>
  <w:num w:numId="19" w16cid:durableId="1638339949">
    <w:abstractNumId w:val="9"/>
  </w:num>
  <w:num w:numId="20" w16cid:durableId="903567496">
    <w:abstractNumId w:val="1"/>
  </w:num>
  <w:num w:numId="21" w16cid:durableId="848062865">
    <w:abstractNumId w:val="16"/>
  </w:num>
  <w:num w:numId="22" w16cid:durableId="177551693">
    <w:abstractNumId w:val="3"/>
  </w:num>
  <w:num w:numId="23" w16cid:durableId="874541120">
    <w:abstractNumId w:val="12"/>
  </w:num>
  <w:num w:numId="24" w16cid:durableId="1793985866">
    <w:abstractNumId w:val="21"/>
  </w:num>
  <w:num w:numId="25" w16cid:durableId="1757089699">
    <w:abstractNumId w:val="26"/>
  </w:num>
  <w:num w:numId="26" w16cid:durableId="343361920">
    <w:abstractNumId w:val="8"/>
  </w:num>
  <w:num w:numId="27" w16cid:durableId="4906804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ED"/>
    <w:rsid w:val="000001FA"/>
    <w:rsid w:val="00000BC2"/>
    <w:rsid w:val="000018ED"/>
    <w:rsid w:val="000072D6"/>
    <w:rsid w:val="00010620"/>
    <w:rsid w:val="00014057"/>
    <w:rsid w:val="00016BF4"/>
    <w:rsid w:val="00017FD5"/>
    <w:rsid w:val="00024264"/>
    <w:rsid w:val="00041848"/>
    <w:rsid w:val="000541DB"/>
    <w:rsid w:val="00060D05"/>
    <w:rsid w:val="00065710"/>
    <w:rsid w:val="00072E36"/>
    <w:rsid w:val="00085C9A"/>
    <w:rsid w:val="00087EDA"/>
    <w:rsid w:val="000976A9"/>
    <w:rsid w:val="00097818"/>
    <w:rsid w:val="000A122D"/>
    <w:rsid w:val="000A4D89"/>
    <w:rsid w:val="000B34D4"/>
    <w:rsid w:val="000B6363"/>
    <w:rsid w:val="000C0C77"/>
    <w:rsid w:val="000C3260"/>
    <w:rsid w:val="000E021A"/>
    <w:rsid w:val="000E06A2"/>
    <w:rsid w:val="000E1624"/>
    <w:rsid w:val="000E5911"/>
    <w:rsid w:val="000E705D"/>
    <w:rsid w:val="000E7379"/>
    <w:rsid w:val="000F2412"/>
    <w:rsid w:val="001038EC"/>
    <w:rsid w:val="00106874"/>
    <w:rsid w:val="0011561D"/>
    <w:rsid w:val="001216BD"/>
    <w:rsid w:val="00127447"/>
    <w:rsid w:val="00155EC5"/>
    <w:rsid w:val="00157F7F"/>
    <w:rsid w:val="00192904"/>
    <w:rsid w:val="0019611A"/>
    <w:rsid w:val="00197826"/>
    <w:rsid w:val="001A4B72"/>
    <w:rsid w:val="001C0577"/>
    <w:rsid w:val="001D6B46"/>
    <w:rsid w:val="001E1DAC"/>
    <w:rsid w:val="001E3D3E"/>
    <w:rsid w:val="001E6D37"/>
    <w:rsid w:val="001F214A"/>
    <w:rsid w:val="001F663F"/>
    <w:rsid w:val="0021794D"/>
    <w:rsid w:val="002232DB"/>
    <w:rsid w:val="00226990"/>
    <w:rsid w:val="00236197"/>
    <w:rsid w:val="00237A92"/>
    <w:rsid w:val="002449C0"/>
    <w:rsid w:val="00266957"/>
    <w:rsid w:val="0027193F"/>
    <w:rsid w:val="00274E8C"/>
    <w:rsid w:val="002825E6"/>
    <w:rsid w:val="00283327"/>
    <w:rsid w:val="00291FF9"/>
    <w:rsid w:val="002952D0"/>
    <w:rsid w:val="002C4738"/>
    <w:rsid w:val="002D1622"/>
    <w:rsid w:val="002D77FA"/>
    <w:rsid w:val="002E4621"/>
    <w:rsid w:val="002F73C8"/>
    <w:rsid w:val="00301CB4"/>
    <w:rsid w:val="003035B9"/>
    <w:rsid w:val="0031058E"/>
    <w:rsid w:val="00322E03"/>
    <w:rsid w:val="00336773"/>
    <w:rsid w:val="00342C52"/>
    <w:rsid w:val="003455FD"/>
    <w:rsid w:val="00347AA9"/>
    <w:rsid w:val="00353989"/>
    <w:rsid w:val="003558DF"/>
    <w:rsid w:val="003733A6"/>
    <w:rsid w:val="00375A6B"/>
    <w:rsid w:val="0038293D"/>
    <w:rsid w:val="003A1874"/>
    <w:rsid w:val="003A56D3"/>
    <w:rsid w:val="003B4914"/>
    <w:rsid w:val="003C4210"/>
    <w:rsid w:val="003D1470"/>
    <w:rsid w:val="003D4F0B"/>
    <w:rsid w:val="003E7FF1"/>
    <w:rsid w:val="0041704F"/>
    <w:rsid w:val="004278B6"/>
    <w:rsid w:val="00455743"/>
    <w:rsid w:val="0047133A"/>
    <w:rsid w:val="00480552"/>
    <w:rsid w:val="00495165"/>
    <w:rsid w:val="004964E2"/>
    <w:rsid w:val="004B0B81"/>
    <w:rsid w:val="004C5EA5"/>
    <w:rsid w:val="004E781E"/>
    <w:rsid w:val="004E79CB"/>
    <w:rsid w:val="004F00BA"/>
    <w:rsid w:val="004F66EF"/>
    <w:rsid w:val="00504956"/>
    <w:rsid w:val="00522069"/>
    <w:rsid w:val="0055043A"/>
    <w:rsid w:val="00551194"/>
    <w:rsid w:val="005558D9"/>
    <w:rsid w:val="0057235B"/>
    <w:rsid w:val="005A4E72"/>
    <w:rsid w:val="005A684A"/>
    <w:rsid w:val="005B5360"/>
    <w:rsid w:val="005C61B3"/>
    <w:rsid w:val="005D6823"/>
    <w:rsid w:val="005F08AD"/>
    <w:rsid w:val="00604828"/>
    <w:rsid w:val="00610933"/>
    <w:rsid w:val="00625E02"/>
    <w:rsid w:val="00633C9D"/>
    <w:rsid w:val="00660A35"/>
    <w:rsid w:val="00662337"/>
    <w:rsid w:val="006659A5"/>
    <w:rsid w:val="00666994"/>
    <w:rsid w:val="00672EDE"/>
    <w:rsid w:val="006A4074"/>
    <w:rsid w:val="006B46AD"/>
    <w:rsid w:val="006C50E4"/>
    <w:rsid w:val="006C7790"/>
    <w:rsid w:val="006D2F05"/>
    <w:rsid w:val="006D34ED"/>
    <w:rsid w:val="006E3073"/>
    <w:rsid w:val="006F0B4D"/>
    <w:rsid w:val="006F0F80"/>
    <w:rsid w:val="006F1278"/>
    <w:rsid w:val="006F4B1C"/>
    <w:rsid w:val="0070462A"/>
    <w:rsid w:val="007059B9"/>
    <w:rsid w:val="00722725"/>
    <w:rsid w:val="00724476"/>
    <w:rsid w:val="0076572C"/>
    <w:rsid w:val="007706A9"/>
    <w:rsid w:val="00771D39"/>
    <w:rsid w:val="0077384C"/>
    <w:rsid w:val="007836BE"/>
    <w:rsid w:val="00783B65"/>
    <w:rsid w:val="00784CA5"/>
    <w:rsid w:val="007C56BD"/>
    <w:rsid w:val="007D39E4"/>
    <w:rsid w:val="007D6D34"/>
    <w:rsid w:val="007D79EE"/>
    <w:rsid w:val="007E3A67"/>
    <w:rsid w:val="007F69B9"/>
    <w:rsid w:val="00812BB3"/>
    <w:rsid w:val="00827C68"/>
    <w:rsid w:val="00827FF2"/>
    <w:rsid w:val="008401CB"/>
    <w:rsid w:val="00881879"/>
    <w:rsid w:val="008D38C9"/>
    <w:rsid w:val="008E4CC3"/>
    <w:rsid w:val="008E78CC"/>
    <w:rsid w:val="008F7B2B"/>
    <w:rsid w:val="0091062C"/>
    <w:rsid w:val="00911DCE"/>
    <w:rsid w:val="00915263"/>
    <w:rsid w:val="00922E3D"/>
    <w:rsid w:val="009349C4"/>
    <w:rsid w:val="00952077"/>
    <w:rsid w:val="009525FF"/>
    <w:rsid w:val="0097114E"/>
    <w:rsid w:val="009726BD"/>
    <w:rsid w:val="00973016"/>
    <w:rsid w:val="00974606"/>
    <w:rsid w:val="00995E24"/>
    <w:rsid w:val="009A06BD"/>
    <w:rsid w:val="009A5625"/>
    <w:rsid w:val="009B4DF3"/>
    <w:rsid w:val="009C12EE"/>
    <w:rsid w:val="00A029D0"/>
    <w:rsid w:val="00A2149D"/>
    <w:rsid w:val="00A21F50"/>
    <w:rsid w:val="00A32123"/>
    <w:rsid w:val="00A42478"/>
    <w:rsid w:val="00A47A90"/>
    <w:rsid w:val="00A54D4C"/>
    <w:rsid w:val="00A93B06"/>
    <w:rsid w:val="00A97F95"/>
    <w:rsid w:val="00AA2FC0"/>
    <w:rsid w:val="00AB2974"/>
    <w:rsid w:val="00AD6C45"/>
    <w:rsid w:val="00B0765D"/>
    <w:rsid w:val="00B113C3"/>
    <w:rsid w:val="00B130B1"/>
    <w:rsid w:val="00B162A3"/>
    <w:rsid w:val="00B212C0"/>
    <w:rsid w:val="00B22B3A"/>
    <w:rsid w:val="00B2515F"/>
    <w:rsid w:val="00B345C6"/>
    <w:rsid w:val="00B63C91"/>
    <w:rsid w:val="00B7018F"/>
    <w:rsid w:val="00B738D0"/>
    <w:rsid w:val="00B7587F"/>
    <w:rsid w:val="00B7719A"/>
    <w:rsid w:val="00BC01CE"/>
    <w:rsid w:val="00BD0A94"/>
    <w:rsid w:val="00BD4264"/>
    <w:rsid w:val="00BF17FC"/>
    <w:rsid w:val="00C16BC5"/>
    <w:rsid w:val="00C36869"/>
    <w:rsid w:val="00C64460"/>
    <w:rsid w:val="00C83DC6"/>
    <w:rsid w:val="00C84212"/>
    <w:rsid w:val="00C94661"/>
    <w:rsid w:val="00C94EDC"/>
    <w:rsid w:val="00CA2ABB"/>
    <w:rsid w:val="00CA5BE5"/>
    <w:rsid w:val="00CA78BC"/>
    <w:rsid w:val="00CB22D2"/>
    <w:rsid w:val="00CD0BA3"/>
    <w:rsid w:val="00CD1271"/>
    <w:rsid w:val="00CD7632"/>
    <w:rsid w:val="00CE26B6"/>
    <w:rsid w:val="00CE5F6E"/>
    <w:rsid w:val="00CF39DA"/>
    <w:rsid w:val="00CF6809"/>
    <w:rsid w:val="00D01FAF"/>
    <w:rsid w:val="00D03B10"/>
    <w:rsid w:val="00D05ACE"/>
    <w:rsid w:val="00D22058"/>
    <w:rsid w:val="00D22324"/>
    <w:rsid w:val="00D25EC6"/>
    <w:rsid w:val="00D27B03"/>
    <w:rsid w:val="00D309A7"/>
    <w:rsid w:val="00D354E7"/>
    <w:rsid w:val="00D4014B"/>
    <w:rsid w:val="00D51144"/>
    <w:rsid w:val="00D62D28"/>
    <w:rsid w:val="00D720C2"/>
    <w:rsid w:val="00D75F78"/>
    <w:rsid w:val="00D76324"/>
    <w:rsid w:val="00D76883"/>
    <w:rsid w:val="00D8053E"/>
    <w:rsid w:val="00DA4B3C"/>
    <w:rsid w:val="00DA6154"/>
    <w:rsid w:val="00DB012A"/>
    <w:rsid w:val="00DC7081"/>
    <w:rsid w:val="00DD07DB"/>
    <w:rsid w:val="00DF1544"/>
    <w:rsid w:val="00DF456B"/>
    <w:rsid w:val="00E04228"/>
    <w:rsid w:val="00E165D4"/>
    <w:rsid w:val="00E21875"/>
    <w:rsid w:val="00E368AB"/>
    <w:rsid w:val="00E40150"/>
    <w:rsid w:val="00E401B0"/>
    <w:rsid w:val="00E44A6C"/>
    <w:rsid w:val="00E54A2A"/>
    <w:rsid w:val="00E62400"/>
    <w:rsid w:val="00E645F2"/>
    <w:rsid w:val="00E83641"/>
    <w:rsid w:val="00E867C1"/>
    <w:rsid w:val="00E90EA4"/>
    <w:rsid w:val="00E91C2E"/>
    <w:rsid w:val="00E946AF"/>
    <w:rsid w:val="00E96942"/>
    <w:rsid w:val="00EA3B28"/>
    <w:rsid w:val="00EA4E8E"/>
    <w:rsid w:val="00EB1243"/>
    <w:rsid w:val="00EB1C72"/>
    <w:rsid w:val="00EB20F4"/>
    <w:rsid w:val="00EB7F53"/>
    <w:rsid w:val="00EE5834"/>
    <w:rsid w:val="00EE72D4"/>
    <w:rsid w:val="00EF35A2"/>
    <w:rsid w:val="00F106B5"/>
    <w:rsid w:val="00F133C7"/>
    <w:rsid w:val="00F153D4"/>
    <w:rsid w:val="00F344C3"/>
    <w:rsid w:val="00F350CE"/>
    <w:rsid w:val="00F533F3"/>
    <w:rsid w:val="00F551AF"/>
    <w:rsid w:val="00F62C25"/>
    <w:rsid w:val="00F63AAF"/>
    <w:rsid w:val="00F8403F"/>
    <w:rsid w:val="00F84DE8"/>
    <w:rsid w:val="00FA1D8A"/>
    <w:rsid w:val="00FA458B"/>
    <w:rsid w:val="00FB1AB6"/>
    <w:rsid w:val="00FC28E7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5A7C"/>
  <w15:chartTrackingRefBased/>
  <w15:docId w15:val="{0A7FA9FF-757B-5D4E-948E-64719E8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78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E7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D3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C47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34E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Encabezado">
    <w:name w:val="header"/>
    <w:basedOn w:val="Normal"/>
    <w:link w:val="EncabezadoCar"/>
    <w:unhideWhenUsed/>
    <w:rsid w:val="006D3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34E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D3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ED"/>
    <w:rPr>
      <w:sz w:val="22"/>
      <w:szCs w:val="22"/>
    </w:rPr>
  </w:style>
  <w:style w:type="character" w:styleId="Hipervnculo">
    <w:name w:val="Hyperlink"/>
    <w:uiPriority w:val="99"/>
    <w:rsid w:val="006D34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34E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D34ED"/>
  </w:style>
  <w:style w:type="character" w:customStyle="1" w:styleId="Ttulo4Car">
    <w:name w:val="Título 4 Car"/>
    <w:basedOn w:val="Fuentedeprrafopredeter"/>
    <w:link w:val="Ttulo4"/>
    <w:uiPriority w:val="9"/>
    <w:rsid w:val="002C473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A93B06"/>
    <w:rPr>
      <w:b/>
      <w:bCs/>
    </w:rPr>
  </w:style>
  <w:style w:type="character" w:styleId="nfasis">
    <w:name w:val="Emphasis"/>
    <w:basedOn w:val="Fuentedeprrafopredeter"/>
    <w:uiPriority w:val="20"/>
    <w:qFormat/>
    <w:rsid w:val="00D03B1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1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F00B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65D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E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1B0"/>
    <w:rPr>
      <w:color w:val="954F72" w:themeColor="followedHyperlink"/>
      <w:u w:val="single"/>
    </w:rPr>
  </w:style>
  <w:style w:type="paragraph" w:customStyle="1" w:styleId="Default">
    <w:name w:val="Default"/>
    <w:rsid w:val="002449C0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274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74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74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447"/>
    <w:rPr>
      <w:b/>
      <w:bCs/>
      <w:sz w:val="20"/>
      <w:szCs w:val="20"/>
    </w:rPr>
  </w:style>
  <w:style w:type="paragraph" w:customStyle="1" w:styleId="FechaPortada">
    <w:name w:val="FechaPortada"/>
    <w:basedOn w:val="Normal"/>
    <w:rsid w:val="000018ED"/>
    <w:pPr>
      <w:spacing w:after="120" w:line="240" w:lineRule="auto"/>
      <w:jc w:val="right"/>
    </w:pPr>
    <w:rPr>
      <w:rFonts w:ascii="Century Gothic" w:eastAsia="Times New Roman" w:hAnsi="Century Gothic" w:cs="Arial"/>
      <w:sz w:val="48"/>
      <w:szCs w:val="48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623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623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62337"/>
    <w:rPr>
      <w:vertAlign w:val="superscript"/>
    </w:rPr>
  </w:style>
  <w:style w:type="paragraph" w:customStyle="1" w:styleId="pf0">
    <w:name w:val="pf0"/>
    <w:basedOn w:val="Normal"/>
    <w:rsid w:val="00D7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s.hosting.augure.com/Response/cC7jy/%7B20b7ae7c-1691-4bbf-bd45-8b92c9fc1484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s.hosting.augure.com/Response/cC7jy/%7B20b7ae7c-1691-4bbf-bd45-8b92c9fc1484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s.hosting.augure.com/Response/cC7jy/%7B20b7ae7c-1691-4bbf-bd45-8b92c9fc1484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a81b32-a9a1-4088-8bb9-16f400a868cb" xsi:nil="true"/>
    <lcf76f155ced4ddcb4097134ff3c332f xmlns="30a81b32-a9a1-4088-8bb9-16f400a868cb">
      <Terms xmlns="http://schemas.microsoft.com/office/infopath/2007/PartnerControls"/>
    </lcf76f155ced4ddcb4097134ff3c332f>
    <TaxCatchAll xmlns="b37c6362-579c-46b3-9cac-1f0e107df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43ACCD90F304081F3CA18D1A0F7FD" ma:contentTypeVersion="11" ma:contentTypeDescription="Crear nuevo documento." ma:contentTypeScope="" ma:versionID="d23a4ed18dd075842f1ece658426685b">
  <xsd:schema xmlns:xsd="http://www.w3.org/2001/XMLSchema" xmlns:xs="http://www.w3.org/2001/XMLSchema" xmlns:p="http://schemas.microsoft.com/office/2006/metadata/properties" xmlns:ns2="30a81b32-a9a1-4088-8bb9-16f400a868cb" xmlns:ns3="b37c6362-579c-46b3-9cac-1f0e107df98d" targetNamespace="http://schemas.microsoft.com/office/2006/metadata/properties" ma:root="true" ma:fieldsID="c95ffba2677baf782468d5f5c3803c9b" ns2:_="" ns3:_="">
    <xsd:import namespace="30a81b32-a9a1-4088-8bb9-16f400a868cb"/>
    <xsd:import namespace="b37c6362-579c-46b3-9cac-1f0e107df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1b32-a9a1-4088-8bb9-16f400a8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895b94-e134-46ae-8eed-957aff2dc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c6362-579c-46b3-9cac-1f0e107df9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e2542-7003-4af1-acc1-2de406b3f14e}" ma:internalName="TaxCatchAll" ma:showField="CatchAllData" ma:web="b37c6362-579c-46b3-9cac-1f0e107df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DDEB4-A900-4CDC-B197-A450636FF9CD}">
  <ds:schemaRefs>
    <ds:schemaRef ds:uri="http://schemas.microsoft.com/office/2006/metadata/properties"/>
    <ds:schemaRef ds:uri="http://schemas.microsoft.com/office/infopath/2007/PartnerControls"/>
    <ds:schemaRef ds:uri="30a81b32-a9a1-4088-8bb9-16f400a868cb"/>
    <ds:schemaRef ds:uri="b37c6362-579c-46b3-9cac-1f0e107df98d"/>
  </ds:schemaRefs>
</ds:datastoreItem>
</file>

<file path=customXml/itemProps2.xml><?xml version="1.0" encoding="utf-8"?>
<ds:datastoreItem xmlns:ds="http://schemas.openxmlformats.org/officeDocument/2006/customXml" ds:itemID="{D401B0D9-22E4-48A0-B1BE-6A04E6160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D403E-CA58-4BC2-922F-13EB9B8BDE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615DE-5C68-4AAB-94D0-DCF08384B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1b32-a9a1-4088-8bb9-16f400a868cb"/>
    <ds:schemaRef ds:uri="b37c6362-579c-46b3-9cac-1f0e107df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Abellán</dc:creator>
  <cp:keywords/>
  <dc:description/>
  <cp:lastModifiedBy>Alicia AL. Lobo Casero</cp:lastModifiedBy>
  <cp:revision>2</cp:revision>
  <dcterms:created xsi:type="dcterms:W3CDTF">2023-12-20T14:12:00Z</dcterms:created>
  <dcterms:modified xsi:type="dcterms:W3CDTF">2023-12-20T14:12:00Z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0x01010084143ACCD90F304081F3CA18D1A0F7FD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